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b/>
          <w:bCs/>
          <w:color w:val="000000"/>
          <w:sz w:val="36"/>
          <w:szCs w:val="36"/>
        </w:rPr>
      </w:pPr>
      <w:r>
        <w:rPr>
          <w:rFonts w:hAnsi="宋体"/>
          <w:b/>
          <w:bCs/>
          <w:color w:val="000000"/>
          <w:sz w:val="36"/>
          <w:szCs w:val="36"/>
        </w:rPr>
        <w:t>关于做好南京中医药大学</w:t>
      </w:r>
      <w:r>
        <w:rPr>
          <w:rFonts w:hint="eastAsia" w:hAnsi="宋体"/>
          <w:b/>
          <w:bCs/>
          <w:color w:val="000000"/>
          <w:sz w:val="36"/>
          <w:szCs w:val="36"/>
          <w:lang w:eastAsia="zh-CN"/>
        </w:rPr>
        <w:t>翰林学院</w:t>
      </w:r>
      <w:r>
        <w:rPr>
          <w:rFonts w:hAnsi="宋体"/>
          <w:b/>
          <w:bCs/>
          <w:color w:val="000000"/>
          <w:sz w:val="36"/>
          <w:szCs w:val="36"/>
        </w:rPr>
        <w:t>大学生创新训练计划项目中期检查和结题验收工作的通知</w:t>
      </w:r>
    </w:p>
    <w:p>
      <w:pPr>
        <w:widowControl/>
        <w:spacing w:line="580" w:lineRule="exact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各学院：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根据《江苏省高等学校大学生实践创新训练计划实施管理办法》文件精神，学校将开展中期检查和结题验收，以形成相关材料报送省教育厅。现请各有关学院组织好本院项目的检查和验收工作。</w:t>
      </w:r>
    </w:p>
    <w:p>
      <w:pPr>
        <w:widowControl/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中期检查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 xml:space="preserve"> 项目主持人请登录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江苏省大学生实践创新训练计划平台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instrText xml:space="preserve"> HYPERLINK "http://jscx.njnu.edu.cn/Index.aspx" </w:instrTex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http://jscx.njnu.edu.cn/Index.aspx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进行季度报告和中期检查的提交，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中期检查报告从“表格输出栏”可在线导出，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季度报告的完成情况将作为中期检查审核的重要指标。</w:t>
      </w:r>
    </w:p>
    <w:p>
      <w:pPr>
        <w:widowControl/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结题验收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 xml:space="preserve"> 项目主持人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江苏省大学生实践创新训练计划平台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instrText xml:space="preserve"> HYPERLINK "http://jscx.njnu.edu.cn/Index.aspx" </w:instrTex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http://jscx.njnu.edu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.cn/Index.aspx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进行季度报告和结题验收报告的提交，季度报告的完成情况将作为结题验收审核的重要指标。各级各类结题项目均需提交不少于3000字的项目成果精粹。</w:t>
      </w:r>
    </w:p>
    <w:p>
      <w:pPr>
        <w:widowControl/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教务处委托各学院聘请相关学科3～5位专家组成大学生创新训练计划项目专家评审组（专家名单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和评审方案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报教务处备案），负责项目中期检查和结题验收工作，检查及验收结果形成《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学院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大学生创新训练计划组织管理情况汇报表》（附件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1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）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和相关成果精粹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各学院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请于201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9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年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月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日前报送如下材料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（1）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中期检查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报告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（2）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结题验收报告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、相关成果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精粹；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（3）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组织管理情况汇报表。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各院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相关纸质材料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（一式一份）请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交至教务处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（行政楼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307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，电子材料发至邮箱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664320564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@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qq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.com，联系人：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袁斐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，联系电话：0523-8063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9010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附件：</w:t>
      </w:r>
    </w:p>
    <w:p>
      <w:pPr>
        <w:widowControl/>
        <w:spacing w:line="580" w:lineRule="exact"/>
        <w:ind w:firstLine="640" w:firstLineChars="200"/>
        <w:jc w:val="lef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1.学院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大学生创新训练计划组织管理情况汇报表</w:t>
      </w:r>
    </w:p>
    <w:p>
      <w:pPr>
        <w:ind w:firstLine="645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2</w:t>
      </w:r>
      <w:r>
        <w:rPr>
          <w:rFonts w:asciiTheme="minorEastAsia" w:hAnsiTheme="minorEastAsia"/>
          <w:bCs/>
          <w:sz w:val="32"/>
          <w:szCs w:val="32"/>
        </w:rPr>
        <w:t>.201</w:t>
      </w:r>
      <w:r>
        <w:rPr>
          <w:rFonts w:hint="eastAsia" w:asciiTheme="minorEastAsia" w:hAnsiTheme="minorEastAsia"/>
          <w:bCs/>
          <w:sz w:val="32"/>
          <w:szCs w:val="32"/>
        </w:rPr>
        <w:t>7</w:t>
      </w:r>
      <w:r>
        <w:rPr>
          <w:rFonts w:asciiTheme="minorEastAsia" w:hAnsiTheme="minorEastAsia"/>
          <w:bCs/>
          <w:sz w:val="32"/>
          <w:szCs w:val="32"/>
        </w:rPr>
        <w:t>年</w:t>
      </w:r>
      <w:r>
        <w:rPr>
          <w:rFonts w:hint="eastAsia" w:asciiTheme="minorEastAsia" w:hAnsiTheme="minorEastAsia"/>
          <w:bCs/>
          <w:sz w:val="32"/>
          <w:szCs w:val="32"/>
        </w:rPr>
        <w:t>省级</w:t>
      </w:r>
      <w:r>
        <w:rPr>
          <w:rFonts w:asciiTheme="minorEastAsia" w:hAnsiTheme="minorEastAsia"/>
          <w:bCs/>
          <w:sz w:val="32"/>
          <w:szCs w:val="32"/>
        </w:rPr>
        <w:t>大学生创新训练计划立项项目表</w:t>
      </w:r>
    </w:p>
    <w:p>
      <w:pPr>
        <w:ind w:firstLine="645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3</w:t>
      </w:r>
      <w:r>
        <w:rPr>
          <w:rFonts w:asciiTheme="minorEastAsia" w:hAnsiTheme="minorEastAsia"/>
          <w:bCs/>
          <w:sz w:val="32"/>
          <w:szCs w:val="32"/>
        </w:rPr>
        <w:t>.201</w:t>
      </w:r>
      <w:r>
        <w:rPr>
          <w:rFonts w:hint="eastAsia" w:asciiTheme="minorEastAsia" w:hAnsiTheme="minorEastAsia"/>
          <w:bCs/>
          <w:sz w:val="32"/>
          <w:szCs w:val="32"/>
        </w:rPr>
        <w:t>8</w:t>
      </w:r>
      <w:r>
        <w:rPr>
          <w:rFonts w:asciiTheme="minorEastAsia" w:hAnsiTheme="minorEastAsia"/>
          <w:bCs/>
          <w:sz w:val="32"/>
          <w:szCs w:val="32"/>
        </w:rPr>
        <w:t>年</w:t>
      </w:r>
      <w:r>
        <w:rPr>
          <w:rFonts w:hint="eastAsia" w:asciiTheme="minorEastAsia" w:hAnsiTheme="minorEastAsia"/>
          <w:bCs/>
          <w:sz w:val="32"/>
          <w:szCs w:val="32"/>
        </w:rPr>
        <w:t>省级</w:t>
      </w:r>
      <w:r>
        <w:rPr>
          <w:rFonts w:asciiTheme="minorEastAsia" w:hAnsiTheme="minorEastAsia"/>
          <w:bCs/>
          <w:sz w:val="32"/>
          <w:szCs w:val="32"/>
        </w:rPr>
        <w:t>大学生创新训练计划立项项目表</w:t>
      </w:r>
    </w:p>
    <w:p>
      <w:pPr>
        <w:widowControl/>
        <w:spacing w:line="580" w:lineRule="exact"/>
        <w:jc w:val="center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 xml:space="preserve">                                     教务处</w:t>
      </w:r>
    </w:p>
    <w:p>
      <w:pPr>
        <w:widowControl/>
        <w:spacing w:line="580" w:lineRule="exact"/>
        <w:jc w:val="righ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201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9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年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月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Theme="minorEastAsia" w:hAnsiTheme="minorEastAsia"/>
          <w:color w:val="000000"/>
          <w:kern w:val="0"/>
          <w:sz w:val="32"/>
          <w:szCs w:val="32"/>
        </w:rPr>
        <w:t>日</w:t>
      </w:r>
    </w:p>
    <w:p>
      <w:pPr>
        <w:widowControl/>
        <w:jc w:val="left"/>
      </w:pPr>
      <w:r>
        <w:br w:type="page"/>
      </w:r>
    </w:p>
    <w:p>
      <w:pPr>
        <w:widowControl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附件1：学院大学生创新训练计划组织管理情况汇报表</w:t>
      </w:r>
    </w:p>
    <w:p>
      <w:pPr>
        <w:widowControl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南京中医药大学</w:t>
      </w:r>
      <w:r>
        <w:rPr>
          <w:rFonts w:hint="eastAsia" w:ascii="黑体" w:eastAsia="黑体"/>
          <w:kern w:val="0"/>
          <w:sz w:val="32"/>
          <w:szCs w:val="32"/>
          <w:lang w:eastAsia="zh-CN"/>
        </w:rPr>
        <w:t>翰林学院</w:t>
      </w:r>
      <w:r>
        <w:rPr>
          <w:rFonts w:hint="eastAsia" w:ascii="黑体" w:eastAsia="黑体"/>
          <w:kern w:val="0"/>
          <w:sz w:val="32"/>
          <w:szCs w:val="32"/>
        </w:rPr>
        <w:t>大学生创新训练计划</w:t>
      </w:r>
    </w:p>
    <w:p>
      <w:pPr>
        <w:widowControl/>
        <w:ind w:firstLine="144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spacing w:val="-1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黑体" w:eastAsia="黑体"/>
          <w:kern w:val="0"/>
          <w:sz w:val="32"/>
          <w:szCs w:val="32"/>
        </w:rPr>
        <w:t>学院组织管理情况汇报表</w:t>
      </w:r>
    </w:p>
    <w:tbl>
      <w:tblPr>
        <w:tblStyle w:val="5"/>
        <w:tblW w:w="9269" w:type="dxa"/>
        <w:jc w:val="center"/>
        <w:tblInd w:w="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6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（公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学院具体负责训练计划组织管理的职能部门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学院扶持政策和经费资助情况</w:t>
            </w:r>
            <w:r>
              <w:rPr>
                <w:rFonts w:hint="eastAsia" w:ascii="宋体" w:hAnsi="宋体"/>
                <w:kern w:val="0"/>
                <w:sz w:val="24"/>
              </w:rPr>
              <w:t>（指学院关于大学生创新训练计划的相关激励政策、经费保障等措施和实施情况）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学院大学生创新训练计划开展情况与主要成效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b/>
                <w:bCs/>
                <w:sz w:val="24"/>
              </w:rPr>
              <w:t>近三年大学生创新</w:t>
            </w:r>
            <w:r>
              <w:rPr>
                <w:rFonts w:hint="eastAsia"/>
                <w:b/>
                <w:bCs/>
                <w:sz w:val="24"/>
              </w:rPr>
              <w:t>创业</w:t>
            </w:r>
            <w:r>
              <w:rPr>
                <w:b/>
                <w:bCs/>
                <w:sz w:val="24"/>
              </w:rPr>
              <w:t>训练计划项目完成情况</w:t>
            </w:r>
            <w:r>
              <w:rPr>
                <w:bCs/>
                <w:sz w:val="24"/>
              </w:rPr>
              <w:t>（指国家级</w:t>
            </w:r>
            <w:r>
              <w:rPr>
                <w:rFonts w:hint="eastAsia"/>
                <w:bCs/>
                <w:sz w:val="24"/>
              </w:rPr>
              <w:t>、省级、校级、院级</w:t>
            </w:r>
            <w:r>
              <w:rPr>
                <w:bCs/>
                <w:sz w:val="24"/>
              </w:rPr>
              <w:t>大学生创新训练计划的立项情况、进展情况和结题情况）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/>
    <w:p>
      <w:pPr>
        <w:widowControl/>
        <w:spacing w:line="580" w:lineRule="exact"/>
        <w:rPr>
          <w:rFonts w:ascii="仿宋_GB2312" w:eastAsia="仿宋_GB2312"/>
          <w:bCs/>
          <w:sz w:val="32"/>
          <w:szCs w:val="32"/>
        </w:rPr>
      </w:pPr>
      <w:r>
        <w:br w:type="page"/>
      </w:r>
      <w:r>
        <w:rPr>
          <w:rFonts w:hint="eastAsia" w:ascii="仿宋_GB2312" w:hAnsi="仿宋_GB2312" w:eastAsia="仿宋_GB2312"/>
          <w:kern w:val="0"/>
          <w:sz w:val="30"/>
          <w:szCs w:val="30"/>
        </w:rPr>
        <w:t>附件2：</w:t>
      </w:r>
      <w:r>
        <w:rPr>
          <w:rFonts w:hint="eastAsia" w:ascii="仿宋_GB2312" w:eastAsia="仿宋_GB2312"/>
          <w:bCs/>
          <w:sz w:val="32"/>
          <w:szCs w:val="32"/>
        </w:rPr>
        <w:t>2017年省级大学生创新训练计划立项项目表</w:t>
      </w:r>
    </w:p>
    <w:tbl>
      <w:tblPr>
        <w:tblStyle w:val="5"/>
        <w:tblW w:w="92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437"/>
        <w:gridCol w:w="2739"/>
        <w:gridCol w:w="871"/>
        <w:gridCol w:w="1245"/>
        <w:gridCol w:w="1200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Header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项目类型 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指导教师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中药固体香薰的制备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孙余芹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陈璟,吕志阳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建立苏黄止咳胶囊—挥发油中紫苏醛含量检测的新方法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蒋金鑫,张智钰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朱静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基于大健康产业的泰州中药特色小镇建设研究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陈曦,聂语辰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田娟,高登云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抗肿瘤活性的新型异甘草素糖基化合物的合成研究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王赛男,缪丹丹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涂清波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平卧菊三七黄酮及酚酸类成分的分离纯化及其抗氧化研究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朱张新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赵玉荣,何立巍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自热止痛巴布贴的研制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赵文静,魏颖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吕志阳,陈璟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小茴香挥发油微乳的制备及其透皮促渗机制的研究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钱宇环,郭冬青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陆姗姗,吕志阳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基于双创驱动的泰州市在校大学生创业意愿及影响因素研究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王紫红,郑晓芹</w:t>
            </w:r>
          </w:p>
        </w:tc>
        <w:tc>
          <w:tcPr>
            <w:tcW w:w="1200" w:type="dxa"/>
            <w:shd w:val="clear" w:color="FFFF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吴玲霞,单兰倩</w:t>
            </w:r>
          </w:p>
        </w:tc>
        <w:tc>
          <w:tcPr>
            <w:tcW w:w="1194" w:type="dxa"/>
            <w:shd w:val="clear" w:color="FFFF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医学院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山茱萸活性单体5-羟甲基糠醛对抑郁症模型大鼠海马神经元凋亡的影响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张司琪,王睿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顾海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10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医学院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基于NT-PGC-1α/GLUT4通路探讨睡茄素A干预胰岛素抵抗作用机制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尚宜志,韩诗雨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方彭华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11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相转移催化法合成葡萄糖糖苷的研究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指导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陶明明,吉素志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李玉静,戴炜辰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12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吲哚类磁性分子印迹聚合物的制备及性能研究</w:t>
            </w:r>
          </w:p>
        </w:tc>
        <w:tc>
          <w:tcPr>
            <w:tcW w:w="8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指导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潘启华,黄子怡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朱安宏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</w:tbl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hint="eastAsia" w:ascii="仿宋_GB2312" w:hAnsi="仿宋_GB2312" w:eastAsia="仿宋_GB2312"/>
          <w:kern w:val="0"/>
          <w:sz w:val="30"/>
          <w:szCs w:val="30"/>
        </w:rPr>
      </w:pPr>
    </w:p>
    <w:p>
      <w:pPr>
        <w:widowControl/>
        <w:spacing w:line="58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附件3：</w:t>
      </w:r>
      <w:r>
        <w:rPr>
          <w:rFonts w:hint="eastAsia" w:ascii="仿宋_GB2312" w:eastAsia="仿宋_GB2312"/>
          <w:bCs/>
          <w:sz w:val="32"/>
          <w:szCs w:val="32"/>
        </w:rPr>
        <w:t>2018年省级大学生创新训练计划立项项目表</w:t>
      </w:r>
    </w:p>
    <w:tbl>
      <w:tblPr>
        <w:tblStyle w:val="5"/>
        <w:tblW w:w="92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412"/>
        <w:gridCol w:w="2649"/>
        <w:gridCol w:w="842"/>
        <w:gridCol w:w="1204"/>
        <w:gridCol w:w="1316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Header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序号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项目名称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 xml:space="preserve"> 项目类型 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项目负责人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指导教师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医学院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Pgc-1α-/-和Pdx-1-cre/Kras-/+小鼠模型生物学特性及三黄汤干预机制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孙雅斌,顾心如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方彭华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银杏双黄酮的提取工艺研究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吴娜,童莹莹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涂清波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护理学院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扬泰地区护生结核病防治知识、态度、行为及其影响因素研究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龚洪滔,谈梦洁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申璐,蔡雷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“互联网+”背景下泰州市社交电商发展影响因素研究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朱甜,季徐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吴玲霞,翟菲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医学院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泰州地区医疗康复护理养老一体化现状研究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任煜杰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朱珂璇,顾海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天花粉-牡蛎配伍对2型糖尿病模型的药效学研究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张晓枫,陈晶晶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孙伟翔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互联网+智慧型养老服务模式探究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李国杰,丁晓翠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乔木,田浩国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茅苍术的土壤养分及药材质量相关性研究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王引,邢倩钰</w:t>
            </w:r>
          </w:p>
        </w:tc>
        <w:tc>
          <w:tcPr>
            <w:tcW w:w="1316" w:type="dxa"/>
            <w:shd w:val="clear" w:color="FFFF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张阿琴</w:t>
            </w:r>
          </w:p>
        </w:tc>
        <w:tc>
          <w:tcPr>
            <w:tcW w:w="1305" w:type="dxa"/>
            <w:shd w:val="clear" w:color="FFFF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平卧菊三七提取物制备工艺研究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刘俊,徐子跃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赵玉荣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社区医疗机构慢性病老人就医行为选择及其影响因素研究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省级一般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潘云,王昊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单兰倩,吴玲霞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药学院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茅苍术的土壤微生物多样性研究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指导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沈晓超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徐晓芳,张阿琴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卫生经济管理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大学生企业家培育路径研究——基于泰州几所高校的调查分析</w:t>
            </w:r>
          </w:p>
        </w:tc>
        <w:tc>
          <w:tcPr>
            <w:tcW w:w="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省级</w:t>
            </w:r>
            <w:r>
              <w:rPr>
                <w:rFonts w:hint="eastAsia" w:ascii="仿宋_GB2312" w:hAnsi="宋体" w:eastAsia="仿宋_GB2312" w:cs="Times New Roman"/>
                <w:sz w:val="20"/>
                <w:szCs w:val="20"/>
                <w:lang w:eastAsia="zh-CN"/>
              </w:rPr>
              <w:t>指导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铎铮,洪睿锴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田娟,高登云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两年期</w:t>
            </w: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659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A0B6"/>
    <w:multiLevelType w:val="singleLevel"/>
    <w:tmpl w:val="5343A0B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1C4C"/>
    <w:rsid w:val="00000801"/>
    <w:rsid w:val="00034978"/>
    <w:rsid w:val="00077B06"/>
    <w:rsid w:val="00085573"/>
    <w:rsid w:val="000975E8"/>
    <w:rsid w:val="000C72EC"/>
    <w:rsid w:val="000D463F"/>
    <w:rsid w:val="000E7B99"/>
    <w:rsid w:val="00181F66"/>
    <w:rsid w:val="00190D96"/>
    <w:rsid w:val="001A151A"/>
    <w:rsid w:val="001A6820"/>
    <w:rsid w:val="001E4218"/>
    <w:rsid w:val="002003AB"/>
    <w:rsid w:val="002006A0"/>
    <w:rsid w:val="00253547"/>
    <w:rsid w:val="00255A16"/>
    <w:rsid w:val="002602A8"/>
    <w:rsid w:val="00264830"/>
    <w:rsid w:val="002777EB"/>
    <w:rsid w:val="00287D03"/>
    <w:rsid w:val="00292736"/>
    <w:rsid w:val="00294A31"/>
    <w:rsid w:val="002B061C"/>
    <w:rsid w:val="002D5879"/>
    <w:rsid w:val="0031409D"/>
    <w:rsid w:val="003171AC"/>
    <w:rsid w:val="00325926"/>
    <w:rsid w:val="00326160"/>
    <w:rsid w:val="0032686C"/>
    <w:rsid w:val="00365C09"/>
    <w:rsid w:val="003A4A9E"/>
    <w:rsid w:val="00407C85"/>
    <w:rsid w:val="00435607"/>
    <w:rsid w:val="00466B48"/>
    <w:rsid w:val="004A45C8"/>
    <w:rsid w:val="005146FC"/>
    <w:rsid w:val="005918F1"/>
    <w:rsid w:val="005962D2"/>
    <w:rsid w:val="005C4CCB"/>
    <w:rsid w:val="005C6896"/>
    <w:rsid w:val="00615330"/>
    <w:rsid w:val="006430A7"/>
    <w:rsid w:val="0064780C"/>
    <w:rsid w:val="006478C0"/>
    <w:rsid w:val="00682649"/>
    <w:rsid w:val="0069057A"/>
    <w:rsid w:val="00691CAB"/>
    <w:rsid w:val="006A265C"/>
    <w:rsid w:val="006F33D9"/>
    <w:rsid w:val="006F6720"/>
    <w:rsid w:val="00736F50"/>
    <w:rsid w:val="00743686"/>
    <w:rsid w:val="00767845"/>
    <w:rsid w:val="007C7312"/>
    <w:rsid w:val="007D3BAB"/>
    <w:rsid w:val="007E4E1D"/>
    <w:rsid w:val="00836A74"/>
    <w:rsid w:val="008474BF"/>
    <w:rsid w:val="008E6266"/>
    <w:rsid w:val="00920A51"/>
    <w:rsid w:val="00925268"/>
    <w:rsid w:val="00937613"/>
    <w:rsid w:val="0095599C"/>
    <w:rsid w:val="009D129A"/>
    <w:rsid w:val="00A12F86"/>
    <w:rsid w:val="00A2353D"/>
    <w:rsid w:val="00A43BA0"/>
    <w:rsid w:val="00A634B8"/>
    <w:rsid w:val="00A81C4C"/>
    <w:rsid w:val="00AC470F"/>
    <w:rsid w:val="00AD2A1D"/>
    <w:rsid w:val="00B16317"/>
    <w:rsid w:val="00B23B03"/>
    <w:rsid w:val="00B42915"/>
    <w:rsid w:val="00B6328F"/>
    <w:rsid w:val="00B91EE0"/>
    <w:rsid w:val="00BC5F18"/>
    <w:rsid w:val="00BC795B"/>
    <w:rsid w:val="00C0088F"/>
    <w:rsid w:val="00C44628"/>
    <w:rsid w:val="00C82C00"/>
    <w:rsid w:val="00C8599A"/>
    <w:rsid w:val="00C962CC"/>
    <w:rsid w:val="00CE2B01"/>
    <w:rsid w:val="00CE506C"/>
    <w:rsid w:val="00CF0AEC"/>
    <w:rsid w:val="00D047C8"/>
    <w:rsid w:val="00D45D06"/>
    <w:rsid w:val="00D7578F"/>
    <w:rsid w:val="00D85133"/>
    <w:rsid w:val="00DB70F6"/>
    <w:rsid w:val="00DE057C"/>
    <w:rsid w:val="00DE20B3"/>
    <w:rsid w:val="00DF6B79"/>
    <w:rsid w:val="00E114A5"/>
    <w:rsid w:val="00E30519"/>
    <w:rsid w:val="00E35DE4"/>
    <w:rsid w:val="00F40E20"/>
    <w:rsid w:val="00F55F30"/>
    <w:rsid w:val="00F72562"/>
    <w:rsid w:val="23196629"/>
    <w:rsid w:val="3EFF754F"/>
    <w:rsid w:val="5B536401"/>
    <w:rsid w:val="5F475BDF"/>
    <w:rsid w:val="625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1553-7BD6-4E18-B15F-74F9373DF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2545</Words>
  <Characters>14513</Characters>
  <Lines>120</Lines>
  <Paragraphs>34</Paragraphs>
  <TotalTime>3</TotalTime>
  <ScaleCrop>false</ScaleCrop>
  <LinksUpToDate>false</LinksUpToDate>
  <CharactersWithSpaces>17024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2016-02-26T06:21:00Z</dcterms:created>
  <dc:creator>Windows 用户</dc:creator>
  <cp:lastModifiedBy>小小飞</cp:lastModifiedBy>
  <cp:lastPrinted>2016-03-03T08:10:00Z</cp:lastPrinted>
  <dcterms:modified xsi:type="dcterms:W3CDTF">2019-04-01T07:21:27Z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