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b/>
          <w:bCs/>
          <w:color w:val="000000"/>
          <w:sz w:val="36"/>
          <w:szCs w:val="36"/>
        </w:rPr>
      </w:pPr>
      <w:r>
        <w:rPr>
          <w:rFonts w:hAnsi="宋体"/>
          <w:b/>
          <w:bCs/>
          <w:color w:val="000000"/>
          <w:sz w:val="36"/>
          <w:szCs w:val="36"/>
        </w:rPr>
        <w:t>关于做好南京中医药大学</w:t>
      </w:r>
      <w:r>
        <w:rPr>
          <w:rFonts w:hint="eastAsia" w:hAnsi="宋体"/>
          <w:b/>
          <w:bCs/>
          <w:color w:val="000000"/>
          <w:sz w:val="36"/>
          <w:szCs w:val="36"/>
          <w:lang w:eastAsia="zh-CN"/>
        </w:rPr>
        <w:t>翰林学院</w:t>
      </w:r>
      <w:r>
        <w:rPr>
          <w:rFonts w:hAnsi="宋体"/>
          <w:b/>
          <w:bCs/>
          <w:color w:val="000000"/>
          <w:sz w:val="36"/>
          <w:szCs w:val="36"/>
        </w:rPr>
        <w:t>大学生创新训练计划项目中期检查和结题验收工作的通知</w:t>
      </w:r>
    </w:p>
    <w:p>
      <w:pPr>
        <w:widowControl/>
        <w:spacing w:line="580" w:lineRule="exact"/>
        <w:jc w:val="left"/>
        <w:rPr>
          <w:rFonts w:asciiTheme="minorEastAsia" w:hAnsiTheme="minorEastAsia"/>
          <w:color w:val="000000"/>
          <w:kern w:val="0"/>
          <w:sz w:val="32"/>
          <w:szCs w:val="32"/>
        </w:rPr>
      </w:pPr>
      <w:r>
        <w:rPr>
          <w:rFonts w:asciiTheme="minorEastAsia" w:hAnsiTheme="minorEastAsia"/>
          <w:color w:val="000000"/>
          <w:kern w:val="0"/>
          <w:sz w:val="32"/>
          <w:szCs w:val="32"/>
        </w:rPr>
        <w:t>各</w:t>
      </w:r>
      <w:r>
        <w:rPr>
          <w:rFonts w:hint="eastAsia" w:asciiTheme="minorEastAsia" w:hAnsiTheme="minorEastAsia"/>
          <w:color w:val="000000"/>
          <w:kern w:val="0"/>
          <w:sz w:val="32"/>
          <w:szCs w:val="32"/>
          <w:lang w:eastAsia="zh-CN"/>
        </w:rPr>
        <w:t>二级</w:t>
      </w:r>
      <w:r>
        <w:rPr>
          <w:rFonts w:asciiTheme="minorEastAsia" w:hAnsiTheme="minorEastAsia"/>
          <w:color w:val="000000"/>
          <w:kern w:val="0"/>
          <w:sz w:val="32"/>
          <w:szCs w:val="32"/>
        </w:rPr>
        <w:t>学院：</w:t>
      </w:r>
    </w:p>
    <w:p>
      <w:pPr>
        <w:widowControl/>
        <w:spacing w:line="580" w:lineRule="exact"/>
        <w:ind w:firstLine="640" w:firstLineChars="200"/>
        <w:jc w:val="left"/>
        <w:rPr>
          <w:rFonts w:asciiTheme="minorEastAsia" w:hAnsiTheme="minorEastAsia"/>
          <w:color w:val="000000"/>
          <w:kern w:val="0"/>
          <w:sz w:val="32"/>
          <w:szCs w:val="32"/>
        </w:rPr>
      </w:pPr>
      <w:r>
        <w:rPr>
          <w:rFonts w:asciiTheme="minorEastAsia" w:hAnsiTheme="minorEastAsia"/>
          <w:color w:val="000000"/>
          <w:kern w:val="0"/>
          <w:sz w:val="32"/>
          <w:szCs w:val="32"/>
        </w:rPr>
        <w:t>根据《江苏省高等学校大学生实践创新训练计划实施管理办法》文件精神，学校将开展中期检查和结题验收，以形成相关材料报送省教育厅。现请各有关</w:t>
      </w:r>
      <w:r>
        <w:rPr>
          <w:rFonts w:hint="eastAsia" w:asciiTheme="minorEastAsia" w:hAnsiTheme="minorEastAsia"/>
          <w:color w:val="000000"/>
          <w:kern w:val="0"/>
          <w:sz w:val="32"/>
          <w:szCs w:val="32"/>
          <w:lang w:eastAsia="zh-CN"/>
        </w:rPr>
        <w:t>二级</w:t>
      </w:r>
      <w:r>
        <w:rPr>
          <w:rFonts w:asciiTheme="minorEastAsia" w:hAnsiTheme="minorEastAsia"/>
          <w:color w:val="000000"/>
          <w:kern w:val="0"/>
          <w:sz w:val="32"/>
          <w:szCs w:val="32"/>
        </w:rPr>
        <w:t>学院组织好本院项目的检查和验收工作。</w:t>
      </w:r>
    </w:p>
    <w:p>
      <w:pPr>
        <w:widowControl/>
        <w:numPr>
          <w:ilvl w:val="0"/>
          <w:numId w:val="1"/>
        </w:numPr>
        <w:spacing w:line="580" w:lineRule="exact"/>
        <w:ind w:firstLine="640" w:firstLineChars="200"/>
        <w:jc w:val="left"/>
        <w:rPr>
          <w:rFonts w:asciiTheme="minorEastAsia" w:hAnsiTheme="minorEastAsia"/>
          <w:color w:val="000000"/>
          <w:kern w:val="0"/>
          <w:sz w:val="32"/>
          <w:szCs w:val="32"/>
        </w:rPr>
      </w:pPr>
      <w:r>
        <w:rPr>
          <w:rFonts w:asciiTheme="minorEastAsia" w:hAnsiTheme="minorEastAsia"/>
          <w:color w:val="000000"/>
          <w:kern w:val="0"/>
          <w:sz w:val="32"/>
          <w:szCs w:val="32"/>
        </w:rPr>
        <w:t>中期检查</w:t>
      </w:r>
      <w:r>
        <w:rPr>
          <w:rFonts w:hint="eastAsia" w:asciiTheme="minorEastAsia" w:hAnsiTheme="minorEastAsia"/>
          <w:color w:val="000000"/>
          <w:kern w:val="0"/>
          <w:sz w:val="32"/>
          <w:szCs w:val="32"/>
        </w:rPr>
        <w:t xml:space="preserve"> </w:t>
      </w:r>
      <w:r>
        <w:rPr>
          <w:rFonts w:asciiTheme="minorEastAsia" w:hAnsiTheme="minorEastAsia"/>
          <w:color w:val="000000"/>
          <w:kern w:val="0"/>
          <w:sz w:val="32"/>
          <w:szCs w:val="32"/>
        </w:rPr>
        <w:t xml:space="preserve"> 项目主持人请登录</w:t>
      </w:r>
      <w:r>
        <w:rPr>
          <w:rFonts w:hint="eastAsia" w:asciiTheme="minorEastAsia" w:hAnsiTheme="minorEastAsia"/>
          <w:color w:val="000000"/>
          <w:kern w:val="0"/>
          <w:sz w:val="32"/>
          <w:szCs w:val="32"/>
          <w:lang w:eastAsia="zh-CN"/>
        </w:rPr>
        <w:t>“</w:t>
      </w:r>
      <w:r>
        <w:rPr>
          <w:rFonts w:hint="eastAsia" w:asciiTheme="minorEastAsia" w:hAnsiTheme="minorEastAsia"/>
          <w:color w:val="000000"/>
          <w:kern w:val="0"/>
          <w:sz w:val="32"/>
          <w:szCs w:val="32"/>
        </w:rPr>
        <w:t>江苏省大学生实践创新训练计划平台</w:t>
      </w:r>
      <w:r>
        <w:rPr>
          <w:rFonts w:hint="eastAsia" w:asciiTheme="minorEastAsia" w:hAnsiTheme="minorEastAsia"/>
          <w:color w:val="000000"/>
          <w:kern w:val="0"/>
          <w:sz w:val="32"/>
          <w:szCs w:val="32"/>
          <w:lang w:eastAsia="zh-CN"/>
        </w:rPr>
        <w:t>”</w:t>
      </w:r>
      <w:r>
        <w:rPr>
          <w:rFonts w:hint="default" w:ascii="Times New Roman" w:hAnsi="Times New Roman" w:cs="Times New Roman"/>
          <w:color w:val="000000"/>
          <w:kern w:val="0"/>
          <w:sz w:val="32"/>
          <w:szCs w:val="32"/>
        </w:rPr>
        <w:t>（https://jsgjc.jse.edu.cn/cxcy/LoginStudent.aspx）</w:t>
      </w:r>
      <w:r>
        <w:rPr>
          <w:rFonts w:asciiTheme="minorEastAsia" w:hAnsiTheme="minorEastAsia"/>
          <w:color w:val="000000"/>
          <w:kern w:val="0"/>
          <w:sz w:val="32"/>
          <w:szCs w:val="32"/>
        </w:rPr>
        <w:t>进行季度报告和中期检查的提交，</w:t>
      </w:r>
      <w:r>
        <w:rPr>
          <w:rFonts w:hint="eastAsia" w:asciiTheme="minorEastAsia" w:hAnsiTheme="minorEastAsia"/>
          <w:color w:val="000000"/>
          <w:kern w:val="0"/>
          <w:sz w:val="32"/>
          <w:szCs w:val="32"/>
        </w:rPr>
        <w:t>中期检查报告从“表格输出栏”可在线导出，</w:t>
      </w:r>
      <w:r>
        <w:rPr>
          <w:rFonts w:asciiTheme="minorEastAsia" w:hAnsiTheme="minorEastAsia"/>
          <w:color w:val="000000"/>
          <w:kern w:val="0"/>
          <w:sz w:val="32"/>
          <w:szCs w:val="32"/>
        </w:rPr>
        <w:t>季度报告的完成情况将作为中期检查审核的重要指标。</w:t>
      </w:r>
    </w:p>
    <w:p>
      <w:pPr>
        <w:widowControl/>
        <w:numPr>
          <w:ilvl w:val="0"/>
          <w:numId w:val="1"/>
        </w:numPr>
        <w:spacing w:line="580" w:lineRule="exact"/>
        <w:ind w:firstLine="640" w:firstLineChars="200"/>
        <w:jc w:val="left"/>
        <w:rPr>
          <w:rFonts w:asciiTheme="minorEastAsia" w:hAnsiTheme="minorEastAsia"/>
          <w:color w:val="000000"/>
          <w:kern w:val="0"/>
          <w:sz w:val="32"/>
          <w:szCs w:val="32"/>
        </w:rPr>
      </w:pPr>
      <w:r>
        <w:rPr>
          <w:rFonts w:asciiTheme="minorEastAsia" w:hAnsiTheme="minorEastAsia"/>
          <w:color w:val="000000"/>
          <w:kern w:val="0"/>
          <w:sz w:val="32"/>
          <w:szCs w:val="32"/>
        </w:rPr>
        <w:t>结题验收</w:t>
      </w:r>
      <w:r>
        <w:rPr>
          <w:rFonts w:hint="eastAsia" w:asciiTheme="minorEastAsia" w:hAnsiTheme="minorEastAsia"/>
          <w:color w:val="000000"/>
          <w:kern w:val="0"/>
          <w:sz w:val="32"/>
          <w:szCs w:val="32"/>
        </w:rPr>
        <w:t xml:space="preserve"> </w:t>
      </w:r>
      <w:r>
        <w:rPr>
          <w:rFonts w:asciiTheme="minorEastAsia" w:hAnsiTheme="minorEastAsia"/>
          <w:color w:val="000000"/>
          <w:kern w:val="0"/>
          <w:sz w:val="32"/>
          <w:szCs w:val="32"/>
        </w:rPr>
        <w:t xml:space="preserve"> 项目主持人</w:t>
      </w:r>
      <w:r>
        <w:rPr>
          <w:rFonts w:hint="eastAsia" w:asciiTheme="minorEastAsia" w:hAnsiTheme="minorEastAsia"/>
          <w:color w:val="000000"/>
          <w:kern w:val="0"/>
          <w:sz w:val="32"/>
          <w:szCs w:val="32"/>
          <w:lang w:eastAsia="zh-CN"/>
        </w:rPr>
        <w:t>请登录“</w:t>
      </w:r>
      <w:r>
        <w:rPr>
          <w:rFonts w:hint="eastAsia" w:asciiTheme="minorEastAsia" w:hAnsiTheme="minorEastAsia"/>
          <w:color w:val="000000"/>
          <w:kern w:val="0"/>
          <w:sz w:val="32"/>
          <w:szCs w:val="32"/>
        </w:rPr>
        <w:t>江苏省大学生实践创新训练计划平台</w:t>
      </w:r>
      <w:r>
        <w:rPr>
          <w:rFonts w:hint="eastAsia" w:asciiTheme="minorEastAsia" w:hAnsiTheme="minorEastAsia"/>
          <w:color w:val="000000"/>
          <w:kern w:val="0"/>
          <w:sz w:val="32"/>
          <w:szCs w:val="32"/>
          <w:lang w:eastAsia="zh-CN"/>
        </w:rPr>
        <w:t>”</w:t>
      </w:r>
      <w:r>
        <w:rPr>
          <w:rFonts w:hint="default" w:ascii="Times New Roman" w:hAnsi="Times New Roman" w:cs="Times New Roman"/>
          <w:color w:val="000000"/>
          <w:kern w:val="0"/>
          <w:sz w:val="32"/>
          <w:szCs w:val="32"/>
        </w:rPr>
        <w:t>（https://jsgjc.jse.edu.cn/cxcy/LoginStudent.aspx</w:t>
      </w:r>
      <w:bookmarkStart w:id="0" w:name="_GoBack"/>
      <w:bookmarkEnd w:id="0"/>
      <w:r>
        <w:rPr>
          <w:rFonts w:hint="default" w:ascii="Times New Roman" w:hAnsi="Times New Roman" w:cs="Times New Roman"/>
          <w:color w:val="000000"/>
          <w:kern w:val="0"/>
          <w:sz w:val="32"/>
          <w:szCs w:val="32"/>
        </w:rPr>
        <w:t>）</w:t>
      </w:r>
      <w:r>
        <w:rPr>
          <w:rFonts w:asciiTheme="minorEastAsia" w:hAnsiTheme="minorEastAsia"/>
          <w:color w:val="000000"/>
          <w:kern w:val="0"/>
          <w:sz w:val="32"/>
          <w:szCs w:val="32"/>
        </w:rPr>
        <w:t>进行季度报告和结题验收报告的提交，季度报告的完成情况将作为结题验收审核的重要指标。结题项目均需提交不少于3000字的项目成果精粹。</w:t>
      </w:r>
    </w:p>
    <w:p>
      <w:pPr>
        <w:widowControl/>
        <w:numPr>
          <w:ilvl w:val="0"/>
          <w:numId w:val="1"/>
        </w:numPr>
        <w:spacing w:line="580" w:lineRule="exact"/>
        <w:ind w:firstLine="640" w:firstLineChars="200"/>
        <w:jc w:val="left"/>
        <w:rPr>
          <w:rFonts w:asciiTheme="minorEastAsia" w:hAnsiTheme="minorEastAsia"/>
          <w:color w:val="000000"/>
          <w:kern w:val="0"/>
          <w:sz w:val="32"/>
          <w:szCs w:val="32"/>
        </w:rPr>
      </w:pPr>
      <w:r>
        <w:rPr>
          <w:rFonts w:hint="eastAsia" w:asciiTheme="minorEastAsia" w:hAnsiTheme="minorEastAsia"/>
          <w:color w:val="000000"/>
          <w:kern w:val="0"/>
          <w:sz w:val="32"/>
          <w:szCs w:val="32"/>
          <w:lang w:eastAsia="zh-CN"/>
        </w:rPr>
        <w:t>请</w:t>
      </w:r>
      <w:r>
        <w:rPr>
          <w:rFonts w:asciiTheme="minorEastAsia" w:hAnsiTheme="minorEastAsia"/>
          <w:color w:val="000000"/>
          <w:kern w:val="0"/>
          <w:sz w:val="32"/>
          <w:szCs w:val="32"/>
        </w:rPr>
        <w:t>各</w:t>
      </w:r>
      <w:r>
        <w:rPr>
          <w:rFonts w:hint="eastAsia" w:asciiTheme="minorEastAsia" w:hAnsiTheme="minorEastAsia"/>
          <w:color w:val="000000"/>
          <w:kern w:val="0"/>
          <w:sz w:val="32"/>
          <w:szCs w:val="32"/>
          <w:lang w:eastAsia="zh-CN"/>
        </w:rPr>
        <w:t>二级</w:t>
      </w:r>
      <w:r>
        <w:rPr>
          <w:rFonts w:asciiTheme="minorEastAsia" w:hAnsiTheme="minorEastAsia"/>
          <w:color w:val="000000"/>
          <w:kern w:val="0"/>
          <w:sz w:val="32"/>
          <w:szCs w:val="32"/>
        </w:rPr>
        <w:t>学院聘请相关学科3～5位专家组成大学生创新训练计划项目专家评审组（专家名单</w:t>
      </w:r>
      <w:r>
        <w:rPr>
          <w:rFonts w:hint="eastAsia" w:asciiTheme="minorEastAsia" w:hAnsiTheme="minorEastAsia"/>
          <w:color w:val="000000"/>
          <w:kern w:val="0"/>
          <w:sz w:val="32"/>
          <w:szCs w:val="32"/>
        </w:rPr>
        <w:t>和评审方案</w:t>
      </w:r>
      <w:r>
        <w:rPr>
          <w:rFonts w:asciiTheme="minorEastAsia" w:hAnsiTheme="minorEastAsia"/>
          <w:color w:val="000000"/>
          <w:kern w:val="0"/>
          <w:sz w:val="32"/>
          <w:szCs w:val="32"/>
        </w:rPr>
        <w:t>报教务处备案），负责项目中期检查和结题验收工作，检查及验收结果形成《</w:t>
      </w:r>
      <w:r>
        <w:rPr>
          <w:rFonts w:hint="eastAsia" w:asciiTheme="minorEastAsia" w:hAnsiTheme="minorEastAsia"/>
          <w:color w:val="000000"/>
          <w:kern w:val="0"/>
          <w:sz w:val="32"/>
          <w:szCs w:val="32"/>
        </w:rPr>
        <w:t>学院</w:t>
      </w:r>
      <w:r>
        <w:rPr>
          <w:rFonts w:asciiTheme="minorEastAsia" w:hAnsiTheme="minorEastAsia"/>
          <w:color w:val="000000"/>
          <w:kern w:val="0"/>
          <w:sz w:val="32"/>
          <w:szCs w:val="32"/>
        </w:rPr>
        <w:t>大学生创新训练计划组织管理情况汇报表》（附件</w:t>
      </w:r>
      <w:r>
        <w:rPr>
          <w:rFonts w:hint="eastAsia" w:asciiTheme="minorEastAsia" w:hAnsiTheme="minorEastAsia"/>
          <w:color w:val="000000"/>
          <w:kern w:val="0"/>
          <w:sz w:val="32"/>
          <w:szCs w:val="32"/>
        </w:rPr>
        <w:t>1</w:t>
      </w:r>
      <w:r>
        <w:rPr>
          <w:rFonts w:asciiTheme="minorEastAsia" w:hAnsiTheme="minorEastAsia"/>
          <w:color w:val="000000"/>
          <w:kern w:val="0"/>
          <w:sz w:val="32"/>
          <w:szCs w:val="32"/>
        </w:rPr>
        <w:t>）</w:t>
      </w:r>
      <w:r>
        <w:rPr>
          <w:rFonts w:hint="eastAsia" w:asciiTheme="minorEastAsia" w:hAnsiTheme="minorEastAsia"/>
          <w:color w:val="000000"/>
          <w:kern w:val="0"/>
          <w:sz w:val="32"/>
          <w:szCs w:val="32"/>
        </w:rPr>
        <w:t>和相关成果精粹</w:t>
      </w:r>
      <w:r>
        <w:rPr>
          <w:rFonts w:asciiTheme="minorEastAsia" w:hAnsiTheme="minorEastAsia"/>
          <w:color w:val="000000"/>
          <w:kern w:val="0"/>
          <w:sz w:val="32"/>
          <w:szCs w:val="32"/>
        </w:rPr>
        <w:t>。</w:t>
      </w:r>
    </w:p>
    <w:p>
      <w:pPr>
        <w:widowControl/>
        <w:numPr>
          <w:ilvl w:val="0"/>
          <w:numId w:val="1"/>
        </w:numPr>
        <w:spacing w:line="580" w:lineRule="exact"/>
        <w:ind w:firstLine="640" w:firstLineChars="200"/>
        <w:jc w:val="left"/>
        <w:rPr>
          <w:rFonts w:asciiTheme="minorEastAsia" w:hAnsiTheme="minorEastAsia"/>
          <w:color w:val="000000"/>
          <w:kern w:val="0"/>
          <w:sz w:val="32"/>
          <w:szCs w:val="32"/>
        </w:rPr>
      </w:pPr>
      <w:r>
        <w:rPr>
          <w:rFonts w:hint="eastAsia" w:asciiTheme="minorEastAsia" w:hAnsiTheme="minorEastAsia"/>
          <w:color w:val="000000"/>
          <w:kern w:val="0"/>
          <w:sz w:val="32"/>
          <w:szCs w:val="32"/>
        </w:rPr>
        <w:t>各</w:t>
      </w:r>
      <w:r>
        <w:rPr>
          <w:rFonts w:hint="eastAsia" w:asciiTheme="minorEastAsia" w:hAnsiTheme="minorEastAsia"/>
          <w:color w:val="000000"/>
          <w:kern w:val="0"/>
          <w:sz w:val="32"/>
          <w:szCs w:val="32"/>
          <w:lang w:eastAsia="zh-CN"/>
        </w:rPr>
        <w:t>二级</w:t>
      </w:r>
      <w:r>
        <w:rPr>
          <w:rFonts w:hint="eastAsia" w:asciiTheme="minorEastAsia" w:hAnsiTheme="minorEastAsia"/>
          <w:color w:val="000000"/>
          <w:kern w:val="0"/>
          <w:sz w:val="32"/>
          <w:szCs w:val="32"/>
        </w:rPr>
        <w:t>学院</w:t>
      </w:r>
      <w:r>
        <w:rPr>
          <w:rFonts w:asciiTheme="minorEastAsia" w:hAnsiTheme="minorEastAsia"/>
          <w:color w:val="000000"/>
          <w:kern w:val="0"/>
          <w:sz w:val="32"/>
          <w:szCs w:val="32"/>
        </w:rPr>
        <w:t>请于20</w:t>
      </w:r>
      <w:r>
        <w:rPr>
          <w:rFonts w:hint="eastAsia" w:asciiTheme="minorEastAsia" w:hAnsiTheme="minorEastAsia"/>
          <w:color w:val="000000"/>
          <w:kern w:val="0"/>
          <w:sz w:val="32"/>
          <w:szCs w:val="32"/>
          <w:lang w:val="en-US" w:eastAsia="zh-CN"/>
        </w:rPr>
        <w:t>20</w:t>
      </w:r>
      <w:r>
        <w:rPr>
          <w:rFonts w:asciiTheme="minorEastAsia" w:hAnsiTheme="minorEastAsia"/>
          <w:color w:val="000000"/>
          <w:kern w:val="0"/>
          <w:sz w:val="32"/>
          <w:szCs w:val="32"/>
        </w:rPr>
        <w:t>年</w:t>
      </w:r>
      <w:r>
        <w:rPr>
          <w:rFonts w:hint="eastAsia" w:asciiTheme="minorEastAsia" w:hAnsiTheme="minorEastAsia"/>
          <w:color w:val="000000"/>
          <w:kern w:val="0"/>
          <w:sz w:val="32"/>
          <w:szCs w:val="32"/>
          <w:lang w:val="en-US" w:eastAsia="zh-CN"/>
        </w:rPr>
        <w:t>5</w:t>
      </w:r>
      <w:r>
        <w:rPr>
          <w:rFonts w:asciiTheme="minorEastAsia" w:hAnsiTheme="minorEastAsia"/>
          <w:color w:val="000000"/>
          <w:kern w:val="0"/>
          <w:sz w:val="32"/>
          <w:szCs w:val="32"/>
        </w:rPr>
        <w:t>月</w:t>
      </w:r>
      <w:r>
        <w:rPr>
          <w:rFonts w:hint="eastAsia" w:asciiTheme="minorEastAsia" w:hAnsiTheme="minorEastAsia"/>
          <w:color w:val="000000"/>
          <w:kern w:val="0"/>
          <w:sz w:val="32"/>
          <w:szCs w:val="32"/>
          <w:lang w:val="en-US" w:eastAsia="zh-CN"/>
        </w:rPr>
        <w:t>20</w:t>
      </w:r>
      <w:r>
        <w:rPr>
          <w:rFonts w:asciiTheme="minorEastAsia" w:hAnsiTheme="minorEastAsia"/>
          <w:color w:val="000000"/>
          <w:kern w:val="0"/>
          <w:sz w:val="32"/>
          <w:szCs w:val="32"/>
        </w:rPr>
        <w:t>日前报送如下材料</w:t>
      </w:r>
      <w:r>
        <w:rPr>
          <w:rFonts w:hint="eastAsia" w:asciiTheme="minorEastAsia" w:hAnsiTheme="minorEastAsia"/>
          <w:color w:val="000000"/>
          <w:kern w:val="0"/>
          <w:sz w:val="32"/>
          <w:szCs w:val="32"/>
        </w:rPr>
        <w:t>：</w:t>
      </w:r>
    </w:p>
    <w:p>
      <w:pPr>
        <w:widowControl/>
        <w:spacing w:line="580" w:lineRule="exact"/>
        <w:ind w:firstLine="640" w:firstLineChars="200"/>
        <w:jc w:val="left"/>
        <w:rPr>
          <w:rFonts w:asciiTheme="minorEastAsia" w:hAnsiTheme="minorEastAsia"/>
          <w:color w:val="000000"/>
          <w:kern w:val="0"/>
          <w:sz w:val="32"/>
          <w:szCs w:val="32"/>
        </w:rPr>
      </w:pPr>
      <w:r>
        <w:rPr>
          <w:rFonts w:hint="eastAsia" w:asciiTheme="minorEastAsia" w:hAnsiTheme="minorEastAsia"/>
          <w:color w:val="000000"/>
          <w:kern w:val="0"/>
          <w:sz w:val="32"/>
          <w:szCs w:val="32"/>
        </w:rPr>
        <w:t>（1）</w:t>
      </w:r>
      <w:r>
        <w:rPr>
          <w:rFonts w:asciiTheme="minorEastAsia" w:hAnsiTheme="minorEastAsia"/>
          <w:color w:val="000000"/>
          <w:kern w:val="0"/>
          <w:sz w:val="32"/>
          <w:szCs w:val="32"/>
        </w:rPr>
        <w:t>中期检查</w:t>
      </w:r>
      <w:r>
        <w:rPr>
          <w:rFonts w:hint="eastAsia" w:asciiTheme="minorEastAsia" w:hAnsiTheme="minorEastAsia"/>
          <w:color w:val="000000"/>
          <w:kern w:val="0"/>
          <w:sz w:val="32"/>
          <w:szCs w:val="32"/>
        </w:rPr>
        <w:t>报告</w:t>
      </w:r>
      <w:r>
        <w:rPr>
          <w:rFonts w:asciiTheme="minorEastAsia" w:hAnsiTheme="minorEastAsia"/>
          <w:color w:val="000000"/>
          <w:kern w:val="0"/>
          <w:sz w:val="32"/>
          <w:szCs w:val="32"/>
        </w:rPr>
        <w:t>；</w:t>
      </w:r>
    </w:p>
    <w:p>
      <w:pPr>
        <w:widowControl/>
        <w:spacing w:line="580" w:lineRule="exact"/>
        <w:ind w:firstLine="640" w:firstLineChars="200"/>
        <w:jc w:val="left"/>
        <w:rPr>
          <w:rFonts w:asciiTheme="minorEastAsia" w:hAnsiTheme="minorEastAsia"/>
          <w:color w:val="000000"/>
          <w:kern w:val="0"/>
          <w:sz w:val="32"/>
          <w:szCs w:val="32"/>
        </w:rPr>
      </w:pPr>
      <w:r>
        <w:rPr>
          <w:rFonts w:hint="eastAsia" w:asciiTheme="minorEastAsia" w:hAnsiTheme="minorEastAsia"/>
          <w:color w:val="000000"/>
          <w:kern w:val="0"/>
          <w:sz w:val="32"/>
          <w:szCs w:val="32"/>
        </w:rPr>
        <w:t>（2）</w:t>
      </w:r>
      <w:r>
        <w:rPr>
          <w:rFonts w:asciiTheme="minorEastAsia" w:hAnsiTheme="minorEastAsia"/>
          <w:color w:val="000000"/>
          <w:kern w:val="0"/>
          <w:sz w:val="32"/>
          <w:szCs w:val="32"/>
        </w:rPr>
        <w:t>结题验收报告</w:t>
      </w:r>
      <w:r>
        <w:rPr>
          <w:rFonts w:hint="eastAsia" w:asciiTheme="minorEastAsia" w:hAnsiTheme="minorEastAsia"/>
          <w:color w:val="000000"/>
          <w:kern w:val="0"/>
          <w:sz w:val="32"/>
          <w:szCs w:val="32"/>
          <w:lang w:eastAsia="zh-CN"/>
        </w:rPr>
        <w:t>、相关成果</w:t>
      </w:r>
      <w:r>
        <w:rPr>
          <w:rFonts w:hint="eastAsia" w:asciiTheme="minorEastAsia" w:hAnsiTheme="minorEastAsia"/>
          <w:color w:val="000000"/>
          <w:kern w:val="0"/>
          <w:sz w:val="32"/>
          <w:szCs w:val="32"/>
        </w:rPr>
        <w:t>精粹；</w:t>
      </w:r>
    </w:p>
    <w:p>
      <w:pPr>
        <w:widowControl/>
        <w:spacing w:line="580" w:lineRule="exact"/>
        <w:ind w:firstLine="640" w:firstLineChars="200"/>
        <w:jc w:val="left"/>
        <w:rPr>
          <w:rFonts w:asciiTheme="minorEastAsia" w:hAnsiTheme="minorEastAsia"/>
          <w:color w:val="000000"/>
          <w:kern w:val="0"/>
          <w:sz w:val="32"/>
          <w:szCs w:val="32"/>
        </w:rPr>
      </w:pPr>
      <w:r>
        <w:rPr>
          <w:rFonts w:hint="eastAsia" w:asciiTheme="minorEastAsia" w:hAnsiTheme="minorEastAsia"/>
          <w:color w:val="000000"/>
          <w:kern w:val="0"/>
          <w:sz w:val="32"/>
          <w:szCs w:val="32"/>
        </w:rPr>
        <w:t>（3）</w:t>
      </w:r>
      <w:r>
        <w:rPr>
          <w:rFonts w:asciiTheme="minorEastAsia" w:hAnsiTheme="minorEastAsia"/>
          <w:color w:val="000000"/>
          <w:kern w:val="0"/>
          <w:sz w:val="32"/>
          <w:szCs w:val="32"/>
        </w:rPr>
        <w:t>组织管理情况汇报表。</w:t>
      </w:r>
    </w:p>
    <w:p>
      <w:pPr>
        <w:widowControl/>
        <w:spacing w:line="580" w:lineRule="exact"/>
        <w:ind w:firstLine="640" w:firstLineChars="200"/>
        <w:jc w:val="left"/>
        <w:rPr>
          <w:rFonts w:hint="eastAsia" w:asciiTheme="minorEastAsia" w:hAnsiTheme="minorEastAsia"/>
          <w:color w:val="000000"/>
          <w:kern w:val="0"/>
          <w:sz w:val="32"/>
          <w:szCs w:val="32"/>
          <w:lang w:eastAsia="zh-CN"/>
        </w:rPr>
      </w:pPr>
      <w:r>
        <w:rPr>
          <w:rFonts w:hint="eastAsia" w:asciiTheme="minorEastAsia" w:hAnsiTheme="minorEastAsia"/>
          <w:color w:val="000000"/>
          <w:kern w:val="0"/>
          <w:sz w:val="32"/>
          <w:szCs w:val="32"/>
          <w:lang w:eastAsia="zh-CN"/>
        </w:rPr>
        <w:t>各二级学院</w:t>
      </w:r>
      <w:r>
        <w:rPr>
          <w:rFonts w:hint="eastAsia" w:asciiTheme="minorEastAsia" w:hAnsiTheme="minorEastAsia"/>
          <w:color w:val="000000"/>
          <w:kern w:val="0"/>
          <w:sz w:val="32"/>
          <w:szCs w:val="32"/>
        </w:rPr>
        <w:t>相关纸质材料</w:t>
      </w:r>
      <w:r>
        <w:rPr>
          <w:rFonts w:hint="eastAsia" w:asciiTheme="minorEastAsia" w:hAnsiTheme="minorEastAsia"/>
          <w:color w:val="000000"/>
          <w:kern w:val="0"/>
          <w:sz w:val="32"/>
          <w:szCs w:val="32"/>
          <w:lang w:eastAsia="zh-CN"/>
        </w:rPr>
        <w:t>（一式一份）请</w:t>
      </w:r>
      <w:r>
        <w:rPr>
          <w:rFonts w:hint="eastAsia" w:asciiTheme="minorEastAsia" w:hAnsiTheme="minorEastAsia"/>
          <w:color w:val="000000"/>
          <w:kern w:val="0"/>
          <w:sz w:val="32"/>
          <w:szCs w:val="32"/>
        </w:rPr>
        <w:t>交至教务处</w:t>
      </w:r>
      <w:r>
        <w:rPr>
          <w:rFonts w:hint="eastAsia" w:asciiTheme="minorEastAsia" w:hAnsiTheme="minorEastAsia"/>
          <w:color w:val="000000"/>
          <w:kern w:val="0"/>
          <w:sz w:val="32"/>
          <w:szCs w:val="32"/>
          <w:lang w:eastAsia="zh-CN"/>
        </w:rPr>
        <w:t>（行政楼</w:t>
      </w:r>
      <w:r>
        <w:rPr>
          <w:rFonts w:hint="eastAsia" w:asciiTheme="minorEastAsia" w:hAnsiTheme="minorEastAsia"/>
          <w:color w:val="000000"/>
          <w:kern w:val="0"/>
          <w:sz w:val="32"/>
          <w:szCs w:val="32"/>
          <w:lang w:val="en-US" w:eastAsia="zh-CN"/>
        </w:rPr>
        <w:t>307</w:t>
      </w:r>
      <w:r>
        <w:rPr>
          <w:rFonts w:hint="eastAsia" w:asciiTheme="minorEastAsia" w:hAnsiTheme="minorEastAsia"/>
          <w:color w:val="000000"/>
          <w:kern w:val="0"/>
          <w:sz w:val="32"/>
          <w:szCs w:val="32"/>
          <w:lang w:eastAsia="zh-CN"/>
        </w:rPr>
        <w:t>）</w:t>
      </w:r>
      <w:r>
        <w:rPr>
          <w:rFonts w:hint="eastAsia" w:asciiTheme="minorEastAsia" w:hAnsiTheme="minorEastAsia"/>
          <w:color w:val="000000"/>
          <w:kern w:val="0"/>
          <w:sz w:val="32"/>
          <w:szCs w:val="32"/>
        </w:rPr>
        <w:t>，电子材料发至邮箱</w:t>
      </w:r>
      <w:r>
        <w:rPr>
          <w:rFonts w:hint="eastAsia" w:asciiTheme="minorEastAsia" w:hAnsiTheme="minorEastAsia"/>
          <w:color w:val="000000"/>
          <w:kern w:val="0"/>
          <w:sz w:val="32"/>
          <w:szCs w:val="32"/>
          <w:lang w:val="en-US" w:eastAsia="zh-CN"/>
        </w:rPr>
        <w:t>hlsjjx307@126.com</w:t>
      </w:r>
      <w:r>
        <w:rPr>
          <w:rFonts w:hint="eastAsia" w:asciiTheme="minorEastAsia" w:hAnsiTheme="minorEastAsia"/>
          <w:color w:val="000000"/>
          <w:kern w:val="0"/>
          <w:sz w:val="32"/>
          <w:szCs w:val="32"/>
        </w:rPr>
        <w:t>，联系人：</w:t>
      </w:r>
      <w:r>
        <w:rPr>
          <w:rFonts w:hint="eastAsia" w:asciiTheme="minorEastAsia" w:hAnsiTheme="minorEastAsia"/>
          <w:color w:val="000000"/>
          <w:kern w:val="0"/>
          <w:sz w:val="32"/>
          <w:szCs w:val="32"/>
          <w:lang w:eastAsia="zh-CN"/>
        </w:rPr>
        <w:t>袁斐</w:t>
      </w:r>
      <w:r>
        <w:rPr>
          <w:rFonts w:hint="eastAsia" w:asciiTheme="minorEastAsia" w:hAnsiTheme="minorEastAsia"/>
          <w:color w:val="000000"/>
          <w:kern w:val="0"/>
          <w:sz w:val="32"/>
          <w:szCs w:val="32"/>
        </w:rPr>
        <w:t>，联系电话：0523-8063</w:t>
      </w:r>
      <w:r>
        <w:rPr>
          <w:rFonts w:hint="eastAsia" w:asciiTheme="minorEastAsia" w:hAnsiTheme="minorEastAsia"/>
          <w:color w:val="000000"/>
          <w:kern w:val="0"/>
          <w:sz w:val="32"/>
          <w:szCs w:val="32"/>
          <w:lang w:val="en-US" w:eastAsia="zh-CN"/>
        </w:rPr>
        <w:t>9010</w:t>
      </w:r>
      <w:r>
        <w:rPr>
          <w:rFonts w:hint="eastAsia" w:asciiTheme="minorEastAsia" w:hAnsiTheme="minorEastAsia"/>
          <w:color w:val="000000"/>
          <w:kern w:val="0"/>
          <w:sz w:val="32"/>
          <w:szCs w:val="32"/>
        </w:rPr>
        <w:t>。</w:t>
      </w:r>
    </w:p>
    <w:p>
      <w:pPr>
        <w:widowControl/>
        <w:spacing w:line="580" w:lineRule="exact"/>
        <w:ind w:firstLine="640" w:firstLineChars="200"/>
        <w:jc w:val="left"/>
        <w:rPr>
          <w:rFonts w:asciiTheme="minorEastAsia" w:hAnsiTheme="minorEastAsia"/>
          <w:color w:val="000000"/>
          <w:kern w:val="0"/>
          <w:sz w:val="32"/>
          <w:szCs w:val="32"/>
        </w:rPr>
      </w:pPr>
      <w:r>
        <w:rPr>
          <w:rFonts w:asciiTheme="minorEastAsia" w:hAnsiTheme="minorEastAsia"/>
          <w:color w:val="000000"/>
          <w:kern w:val="0"/>
          <w:sz w:val="32"/>
          <w:szCs w:val="32"/>
        </w:rPr>
        <w:t>附件：</w:t>
      </w:r>
    </w:p>
    <w:p>
      <w:pPr>
        <w:widowControl/>
        <w:spacing w:line="580" w:lineRule="exact"/>
        <w:ind w:firstLine="640" w:firstLineChars="200"/>
        <w:jc w:val="left"/>
        <w:rPr>
          <w:rFonts w:asciiTheme="minorEastAsia" w:hAnsiTheme="minorEastAsia"/>
          <w:color w:val="000000"/>
          <w:kern w:val="0"/>
          <w:sz w:val="32"/>
          <w:szCs w:val="32"/>
        </w:rPr>
      </w:pPr>
      <w:r>
        <w:rPr>
          <w:rFonts w:hint="eastAsia" w:asciiTheme="minorEastAsia" w:hAnsiTheme="minorEastAsia"/>
          <w:color w:val="000000"/>
          <w:kern w:val="0"/>
          <w:sz w:val="32"/>
          <w:szCs w:val="32"/>
        </w:rPr>
        <w:t>1.</w:t>
      </w:r>
      <w:r>
        <w:rPr>
          <w:rFonts w:hint="eastAsia" w:asciiTheme="minorEastAsia" w:hAnsiTheme="minorEastAsia"/>
          <w:color w:val="000000"/>
          <w:kern w:val="0"/>
          <w:sz w:val="32"/>
          <w:szCs w:val="32"/>
          <w:lang w:eastAsia="zh-CN"/>
        </w:rPr>
        <w:t>二级</w:t>
      </w:r>
      <w:r>
        <w:rPr>
          <w:rFonts w:hint="eastAsia" w:asciiTheme="minorEastAsia" w:hAnsiTheme="minorEastAsia"/>
          <w:color w:val="000000"/>
          <w:kern w:val="0"/>
          <w:sz w:val="32"/>
          <w:szCs w:val="32"/>
        </w:rPr>
        <w:t>学院</w:t>
      </w:r>
      <w:r>
        <w:rPr>
          <w:rFonts w:asciiTheme="minorEastAsia" w:hAnsiTheme="minorEastAsia"/>
          <w:color w:val="000000"/>
          <w:kern w:val="0"/>
          <w:sz w:val="32"/>
          <w:szCs w:val="32"/>
        </w:rPr>
        <w:t>大学生创新训练计划组织管理情况汇报表</w:t>
      </w:r>
    </w:p>
    <w:p>
      <w:pPr>
        <w:ind w:firstLine="645"/>
        <w:rPr>
          <w:rFonts w:asciiTheme="minorEastAsia" w:hAnsiTheme="minorEastAsia"/>
          <w:bCs/>
          <w:sz w:val="32"/>
          <w:szCs w:val="32"/>
        </w:rPr>
      </w:pPr>
      <w:r>
        <w:rPr>
          <w:rFonts w:hint="eastAsia" w:asciiTheme="minorEastAsia" w:hAnsiTheme="minorEastAsia"/>
          <w:bCs/>
          <w:sz w:val="32"/>
          <w:szCs w:val="32"/>
        </w:rPr>
        <w:t>2</w:t>
      </w:r>
      <w:r>
        <w:rPr>
          <w:rFonts w:asciiTheme="minorEastAsia" w:hAnsiTheme="minorEastAsia"/>
          <w:bCs/>
          <w:sz w:val="32"/>
          <w:szCs w:val="32"/>
        </w:rPr>
        <w:t>.201</w:t>
      </w:r>
      <w:r>
        <w:rPr>
          <w:rFonts w:hint="eastAsia" w:asciiTheme="minorEastAsia" w:hAnsiTheme="minorEastAsia"/>
          <w:bCs/>
          <w:sz w:val="32"/>
          <w:szCs w:val="32"/>
          <w:lang w:val="en-US" w:eastAsia="zh-CN"/>
        </w:rPr>
        <w:t>8</w:t>
      </w:r>
      <w:r>
        <w:rPr>
          <w:rFonts w:asciiTheme="minorEastAsia" w:hAnsiTheme="minorEastAsia"/>
          <w:bCs/>
          <w:sz w:val="32"/>
          <w:szCs w:val="32"/>
        </w:rPr>
        <w:t>年</w:t>
      </w:r>
      <w:r>
        <w:rPr>
          <w:rFonts w:hint="eastAsia" w:asciiTheme="minorEastAsia" w:hAnsiTheme="minorEastAsia"/>
          <w:bCs/>
          <w:sz w:val="32"/>
          <w:szCs w:val="32"/>
        </w:rPr>
        <w:t>省级</w:t>
      </w:r>
      <w:r>
        <w:rPr>
          <w:rFonts w:asciiTheme="minorEastAsia" w:hAnsiTheme="minorEastAsia"/>
          <w:bCs/>
          <w:sz w:val="32"/>
          <w:szCs w:val="32"/>
        </w:rPr>
        <w:t>大学生创新训练计划立项项目表</w:t>
      </w:r>
    </w:p>
    <w:p>
      <w:pPr>
        <w:ind w:firstLine="645"/>
        <w:rPr>
          <w:rFonts w:asciiTheme="minorEastAsia" w:hAnsiTheme="minorEastAsia"/>
          <w:bCs/>
          <w:sz w:val="32"/>
          <w:szCs w:val="32"/>
        </w:rPr>
      </w:pPr>
      <w:r>
        <w:rPr>
          <w:rFonts w:hint="eastAsia" w:asciiTheme="minorEastAsia" w:hAnsiTheme="minorEastAsia"/>
          <w:bCs/>
          <w:sz w:val="32"/>
          <w:szCs w:val="32"/>
        </w:rPr>
        <w:t>3</w:t>
      </w:r>
      <w:r>
        <w:rPr>
          <w:rFonts w:asciiTheme="minorEastAsia" w:hAnsiTheme="minorEastAsia"/>
          <w:bCs/>
          <w:sz w:val="32"/>
          <w:szCs w:val="32"/>
        </w:rPr>
        <w:t>.201</w:t>
      </w:r>
      <w:r>
        <w:rPr>
          <w:rFonts w:hint="eastAsia" w:asciiTheme="minorEastAsia" w:hAnsiTheme="minorEastAsia"/>
          <w:bCs/>
          <w:sz w:val="32"/>
          <w:szCs w:val="32"/>
          <w:lang w:val="en-US" w:eastAsia="zh-CN"/>
        </w:rPr>
        <w:t>9</w:t>
      </w:r>
      <w:r>
        <w:rPr>
          <w:rFonts w:asciiTheme="minorEastAsia" w:hAnsiTheme="minorEastAsia"/>
          <w:bCs/>
          <w:sz w:val="32"/>
          <w:szCs w:val="32"/>
        </w:rPr>
        <w:t>年</w:t>
      </w:r>
      <w:r>
        <w:rPr>
          <w:rFonts w:hint="eastAsia" w:asciiTheme="minorEastAsia" w:hAnsiTheme="minorEastAsia"/>
          <w:bCs/>
          <w:sz w:val="32"/>
          <w:szCs w:val="32"/>
        </w:rPr>
        <w:t>省级</w:t>
      </w:r>
      <w:r>
        <w:rPr>
          <w:rFonts w:asciiTheme="minorEastAsia" w:hAnsiTheme="minorEastAsia"/>
          <w:bCs/>
          <w:sz w:val="32"/>
          <w:szCs w:val="32"/>
        </w:rPr>
        <w:t>大学生创新训练计划立项项目表</w:t>
      </w:r>
    </w:p>
    <w:p>
      <w:pPr>
        <w:widowControl/>
        <w:spacing w:line="580" w:lineRule="exact"/>
        <w:jc w:val="center"/>
        <w:rPr>
          <w:rFonts w:asciiTheme="minorEastAsia" w:hAnsiTheme="minorEastAsia"/>
          <w:color w:val="000000"/>
          <w:kern w:val="0"/>
          <w:sz w:val="32"/>
          <w:szCs w:val="32"/>
        </w:rPr>
      </w:pPr>
      <w:r>
        <w:rPr>
          <w:rFonts w:asciiTheme="minorEastAsia" w:hAnsiTheme="minorEastAsia"/>
          <w:color w:val="000000"/>
          <w:kern w:val="0"/>
          <w:sz w:val="32"/>
          <w:szCs w:val="32"/>
        </w:rPr>
        <w:t xml:space="preserve">                                     教务处</w:t>
      </w:r>
    </w:p>
    <w:p>
      <w:pPr>
        <w:widowControl/>
        <w:spacing w:line="580" w:lineRule="exact"/>
        <w:jc w:val="right"/>
        <w:rPr>
          <w:rFonts w:asciiTheme="minorEastAsia" w:hAnsiTheme="minorEastAsia"/>
          <w:color w:val="000000"/>
          <w:kern w:val="0"/>
          <w:sz w:val="32"/>
          <w:szCs w:val="32"/>
        </w:rPr>
      </w:pPr>
      <w:r>
        <w:rPr>
          <w:rFonts w:asciiTheme="minorEastAsia" w:hAnsiTheme="minorEastAsia"/>
          <w:color w:val="000000"/>
          <w:kern w:val="0"/>
          <w:sz w:val="32"/>
          <w:szCs w:val="32"/>
        </w:rPr>
        <w:t>20</w:t>
      </w:r>
      <w:r>
        <w:rPr>
          <w:rFonts w:hint="eastAsia" w:asciiTheme="minorEastAsia" w:hAnsiTheme="minorEastAsia"/>
          <w:color w:val="000000"/>
          <w:kern w:val="0"/>
          <w:sz w:val="32"/>
          <w:szCs w:val="32"/>
          <w:lang w:val="en-US" w:eastAsia="zh-CN"/>
        </w:rPr>
        <w:t>20</w:t>
      </w:r>
      <w:r>
        <w:rPr>
          <w:rFonts w:asciiTheme="minorEastAsia" w:hAnsiTheme="minorEastAsia"/>
          <w:color w:val="000000"/>
          <w:kern w:val="0"/>
          <w:sz w:val="32"/>
          <w:szCs w:val="32"/>
        </w:rPr>
        <w:t>年</w:t>
      </w:r>
      <w:r>
        <w:rPr>
          <w:rFonts w:hint="eastAsia" w:asciiTheme="minorEastAsia" w:hAnsiTheme="minorEastAsia"/>
          <w:color w:val="000000"/>
          <w:kern w:val="0"/>
          <w:sz w:val="32"/>
          <w:szCs w:val="32"/>
          <w:lang w:val="en-US" w:eastAsia="zh-CN"/>
        </w:rPr>
        <w:t>5</w:t>
      </w:r>
      <w:r>
        <w:rPr>
          <w:rFonts w:asciiTheme="minorEastAsia" w:hAnsiTheme="minorEastAsia"/>
          <w:color w:val="000000"/>
          <w:kern w:val="0"/>
          <w:sz w:val="32"/>
          <w:szCs w:val="32"/>
        </w:rPr>
        <w:t>月</w:t>
      </w:r>
      <w:r>
        <w:rPr>
          <w:rFonts w:hint="eastAsia" w:asciiTheme="minorEastAsia" w:hAnsiTheme="minorEastAsia"/>
          <w:color w:val="000000"/>
          <w:kern w:val="0"/>
          <w:sz w:val="32"/>
          <w:szCs w:val="32"/>
          <w:lang w:val="en-US" w:eastAsia="zh-CN"/>
        </w:rPr>
        <w:t>8</w:t>
      </w:r>
      <w:r>
        <w:rPr>
          <w:rFonts w:asciiTheme="minorEastAsia" w:hAnsiTheme="minorEastAsia"/>
          <w:color w:val="000000"/>
          <w:kern w:val="0"/>
          <w:sz w:val="32"/>
          <w:szCs w:val="32"/>
        </w:rPr>
        <w:t>日</w:t>
      </w:r>
    </w:p>
    <w:p>
      <w:pPr>
        <w:widowControl/>
        <w:jc w:val="left"/>
      </w:pPr>
      <w:r>
        <w:br w:type="page"/>
      </w:r>
    </w:p>
    <w:p>
      <w:pPr>
        <w:widowControl/>
        <w:rPr>
          <w:rFonts w:ascii="仿宋_GB2312" w:hAnsi="仿宋_GB2312" w:eastAsia="仿宋_GB2312"/>
          <w:kern w:val="0"/>
          <w:sz w:val="30"/>
          <w:szCs w:val="30"/>
        </w:rPr>
      </w:pPr>
      <w:r>
        <w:rPr>
          <w:rFonts w:hint="eastAsia" w:ascii="仿宋_GB2312" w:hAnsi="仿宋_GB2312" w:eastAsia="仿宋_GB2312"/>
          <w:kern w:val="0"/>
          <w:sz w:val="30"/>
          <w:szCs w:val="30"/>
        </w:rPr>
        <w:t>附件1：</w:t>
      </w:r>
      <w:r>
        <w:rPr>
          <w:rFonts w:hint="eastAsia" w:ascii="仿宋_GB2312" w:hAnsi="仿宋_GB2312" w:eastAsia="仿宋_GB2312"/>
          <w:kern w:val="0"/>
          <w:sz w:val="30"/>
          <w:szCs w:val="30"/>
          <w:lang w:eastAsia="zh-CN"/>
        </w:rPr>
        <w:t>二级</w:t>
      </w:r>
      <w:r>
        <w:rPr>
          <w:rFonts w:hint="eastAsia" w:ascii="仿宋_GB2312" w:hAnsi="仿宋_GB2312" w:eastAsia="仿宋_GB2312"/>
          <w:kern w:val="0"/>
          <w:sz w:val="30"/>
          <w:szCs w:val="30"/>
        </w:rPr>
        <w:t>学院大学生创新训练计划组织管理情况汇报表</w:t>
      </w:r>
    </w:p>
    <w:p>
      <w:pPr>
        <w:widowControl/>
        <w:jc w:val="center"/>
        <w:rPr>
          <w:rFonts w:ascii="黑体" w:eastAsia="黑体"/>
          <w:kern w:val="0"/>
          <w:sz w:val="32"/>
          <w:szCs w:val="32"/>
        </w:rPr>
      </w:pPr>
      <w:r>
        <w:rPr>
          <w:rFonts w:hint="eastAsia" w:ascii="黑体" w:eastAsia="黑体"/>
          <w:kern w:val="0"/>
          <w:sz w:val="32"/>
          <w:szCs w:val="32"/>
        </w:rPr>
        <w:t>南京中医药大学</w:t>
      </w:r>
      <w:r>
        <w:rPr>
          <w:rFonts w:hint="eastAsia" w:ascii="黑体" w:eastAsia="黑体"/>
          <w:kern w:val="0"/>
          <w:sz w:val="32"/>
          <w:szCs w:val="32"/>
          <w:lang w:eastAsia="zh-CN"/>
        </w:rPr>
        <w:t>翰林学院</w:t>
      </w:r>
      <w:r>
        <w:rPr>
          <w:rFonts w:hint="eastAsia" w:ascii="黑体" w:eastAsia="黑体"/>
          <w:kern w:val="0"/>
          <w:sz w:val="32"/>
          <w:szCs w:val="32"/>
        </w:rPr>
        <w:t>大学生创新训练计划</w:t>
      </w:r>
    </w:p>
    <w:p>
      <w:pPr>
        <w:widowControl/>
        <w:ind w:firstLine="1440"/>
        <w:rPr>
          <w:rFonts w:ascii="黑体" w:eastAsia="黑体"/>
          <w:kern w:val="0"/>
          <w:sz w:val="32"/>
          <w:szCs w:val="32"/>
        </w:rPr>
      </w:pPr>
      <w:r>
        <w:rPr>
          <w:rFonts w:hint="eastAsia" w:ascii="黑体" w:eastAsia="黑体"/>
          <w:spacing w:val="-10"/>
          <w:kern w:val="0"/>
          <w:sz w:val="32"/>
          <w:szCs w:val="32"/>
          <w:u w:val="single"/>
        </w:rPr>
        <w:t xml:space="preserve">                </w:t>
      </w:r>
      <w:r>
        <w:rPr>
          <w:rFonts w:hint="eastAsia" w:ascii="黑体" w:eastAsia="黑体"/>
          <w:kern w:val="0"/>
          <w:sz w:val="32"/>
          <w:szCs w:val="32"/>
        </w:rPr>
        <w:t>学院组织管理情况汇报表</w:t>
      </w:r>
    </w:p>
    <w:tbl>
      <w:tblPr>
        <w:tblStyle w:val="5"/>
        <w:tblW w:w="9269" w:type="dxa"/>
        <w:jc w:val="center"/>
        <w:tblLayout w:type="fixed"/>
        <w:tblCellMar>
          <w:top w:w="0" w:type="dxa"/>
          <w:left w:w="108" w:type="dxa"/>
          <w:bottom w:w="0" w:type="dxa"/>
          <w:right w:w="108" w:type="dxa"/>
        </w:tblCellMar>
      </w:tblPr>
      <w:tblGrid>
        <w:gridCol w:w="2750"/>
        <w:gridCol w:w="6519"/>
      </w:tblGrid>
      <w:tr>
        <w:tblPrEx>
          <w:tblCellMar>
            <w:top w:w="0" w:type="dxa"/>
            <w:left w:w="108" w:type="dxa"/>
            <w:bottom w:w="0" w:type="dxa"/>
            <w:right w:w="108" w:type="dxa"/>
          </w:tblCellMar>
        </w:tblPrEx>
        <w:trPr>
          <w:trHeight w:val="1125" w:hRule="atLeast"/>
          <w:jc w:val="center"/>
        </w:trPr>
        <w:tc>
          <w:tcPr>
            <w:tcW w:w="27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bCs/>
                <w:kern w:val="0"/>
                <w:sz w:val="24"/>
              </w:rPr>
            </w:pPr>
            <w:r>
              <w:rPr>
                <w:rFonts w:hint="eastAsia" w:ascii="宋体" w:hAnsi="宋体"/>
                <w:b/>
                <w:bCs/>
                <w:kern w:val="0"/>
                <w:sz w:val="24"/>
                <w:lang w:eastAsia="zh-CN"/>
              </w:rPr>
              <w:t>二级</w:t>
            </w:r>
            <w:r>
              <w:rPr>
                <w:rFonts w:hint="eastAsia" w:ascii="宋体" w:hAnsi="宋体"/>
                <w:b/>
                <w:bCs/>
                <w:kern w:val="0"/>
                <w:sz w:val="24"/>
              </w:rPr>
              <w:t>学院名称</w:t>
            </w:r>
          </w:p>
        </w:tc>
        <w:tc>
          <w:tcPr>
            <w:tcW w:w="6519" w:type="dxa"/>
            <w:tcBorders>
              <w:top w:val="single" w:color="000000" w:sz="4" w:space="0"/>
              <w:left w:val="nil"/>
              <w:bottom w:val="single" w:color="000000" w:sz="4" w:space="0"/>
              <w:right w:val="single" w:color="000000" w:sz="4" w:space="0"/>
            </w:tcBorders>
            <w:vAlign w:val="center"/>
          </w:tcPr>
          <w:p>
            <w:pPr>
              <w:widowControl/>
              <w:jc w:val="right"/>
              <w:rPr>
                <w:rFonts w:ascii="宋体" w:hAnsi="宋体"/>
                <w:kern w:val="0"/>
                <w:sz w:val="24"/>
              </w:rPr>
            </w:pPr>
            <w:r>
              <w:rPr>
                <w:rFonts w:hint="eastAsia" w:ascii="宋体" w:hAnsi="宋体"/>
                <w:kern w:val="0"/>
                <w:sz w:val="24"/>
              </w:rPr>
              <w:t>（公  章）</w:t>
            </w:r>
          </w:p>
        </w:tc>
      </w:tr>
      <w:tr>
        <w:tblPrEx>
          <w:tblCellMar>
            <w:top w:w="0" w:type="dxa"/>
            <w:left w:w="108" w:type="dxa"/>
            <w:bottom w:w="0" w:type="dxa"/>
            <w:right w:w="108" w:type="dxa"/>
          </w:tblCellMar>
        </w:tblPrEx>
        <w:trPr>
          <w:trHeight w:val="837" w:hRule="atLeast"/>
          <w:jc w:val="center"/>
        </w:trPr>
        <w:tc>
          <w:tcPr>
            <w:tcW w:w="27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b/>
                <w:bCs/>
                <w:kern w:val="0"/>
                <w:sz w:val="24"/>
              </w:rPr>
            </w:pPr>
            <w:r>
              <w:rPr>
                <w:rFonts w:hint="eastAsia" w:ascii="宋体" w:hAnsi="宋体"/>
                <w:b/>
                <w:bCs/>
                <w:kern w:val="0"/>
                <w:sz w:val="24"/>
                <w:lang w:eastAsia="zh-CN"/>
              </w:rPr>
              <w:t>二级</w:t>
            </w:r>
            <w:r>
              <w:rPr>
                <w:rFonts w:hint="eastAsia" w:ascii="宋体" w:hAnsi="宋体"/>
                <w:b/>
                <w:bCs/>
                <w:kern w:val="0"/>
                <w:sz w:val="24"/>
              </w:rPr>
              <w:t>学院具体负责训练计划组织管理的职能部门</w:t>
            </w:r>
          </w:p>
        </w:tc>
        <w:tc>
          <w:tcPr>
            <w:tcW w:w="6519" w:type="dxa"/>
            <w:tcBorders>
              <w:top w:val="single" w:color="000000" w:sz="4" w:space="0"/>
              <w:left w:val="nil"/>
              <w:bottom w:val="single" w:color="000000" w:sz="4" w:space="0"/>
              <w:right w:val="single" w:color="000000" w:sz="4" w:space="0"/>
            </w:tcBorders>
            <w:vAlign w:val="center"/>
          </w:tcPr>
          <w:p>
            <w:pPr>
              <w:widowControl/>
              <w:jc w:val="right"/>
              <w:rPr>
                <w:rFonts w:ascii="宋体" w:hAnsi="宋体"/>
                <w:kern w:val="0"/>
                <w:sz w:val="24"/>
              </w:rPr>
            </w:pPr>
          </w:p>
        </w:tc>
      </w:tr>
      <w:tr>
        <w:tblPrEx>
          <w:tblCellMar>
            <w:top w:w="0" w:type="dxa"/>
            <w:left w:w="108" w:type="dxa"/>
            <w:bottom w:w="0" w:type="dxa"/>
            <w:right w:w="108" w:type="dxa"/>
          </w:tblCellMar>
        </w:tblPrEx>
        <w:trPr>
          <w:trHeight w:val="2875" w:hRule="atLeast"/>
          <w:jc w:val="center"/>
        </w:trPr>
        <w:tc>
          <w:tcPr>
            <w:tcW w:w="9269" w:type="dxa"/>
            <w:gridSpan w:val="2"/>
            <w:tcBorders>
              <w:top w:val="single" w:color="000000" w:sz="4" w:space="0"/>
              <w:left w:val="single" w:color="000000" w:sz="4" w:space="0"/>
              <w:bottom w:val="single" w:color="000000" w:sz="4" w:space="0"/>
              <w:right w:val="single" w:color="000000" w:sz="4" w:space="0"/>
            </w:tcBorders>
          </w:tcPr>
          <w:p>
            <w:pPr>
              <w:widowControl/>
              <w:rPr>
                <w:rFonts w:ascii="宋体" w:hAnsi="宋体"/>
                <w:kern w:val="0"/>
                <w:sz w:val="24"/>
              </w:rPr>
            </w:pPr>
            <w:r>
              <w:rPr>
                <w:rFonts w:hint="eastAsia" w:ascii="宋体" w:hAnsi="宋体"/>
                <w:b/>
                <w:bCs/>
                <w:kern w:val="0"/>
                <w:sz w:val="24"/>
                <w:lang w:eastAsia="zh-CN"/>
              </w:rPr>
              <w:t>二级</w:t>
            </w:r>
            <w:r>
              <w:rPr>
                <w:rFonts w:hint="eastAsia" w:ascii="宋体" w:hAnsi="宋体"/>
                <w:b/>
                <w:bCs/>
                <w:kern w:val="0"/>
                <w:sz w:val="24"/>
              </w:rPr>
              <w:t>学院扶持政策和经费资助情况</w:t>
            </w:r>
            <w:r>
              <w:rPr>
                <w:rFonts w:hint="eastAsia" w:ascii="宋体" w:hAnsi="宋体"/>
                <w:kern w:val="0"/>
                <w:sz w:val="24"/>
              </w:rPr>
              <w:t>（指学院关于大学生创新训练计划的相关激励政策、经费保障等措施和实施情况）</w:t>
            </w:r>
          </w:p>
          <w:p>
            <w:pPr>
              <w:widowControl/>
              <w:rPr>
                <w:rFonts w:ascii="宋体" w:hAnsi="宋体"/>
                <w:kern w:val="0"/>
                <w:sz w:val="24"/>
              </w:rPr>
            </w:pPr>
          </w:p>
        </w:tc>
      </w:tr>
      <w:tr>
        <w:tblPrEx>
          <w:tblCellMar>
            <w:top w:w="0" w:type="dxa"/>
            <w:left w:w="108" w:type="dxa"/>
            <w:bottom w:w="0" w:type="dxa"/>
            <w:right w:w="108" w:type="dxa"/>
          </w:tblCellMar>
        </w:tblPrEx>
        <w:trPr>
          <w:trHeight w:val="2830" w:hRule="atLeast"/>
          <w:jc w:val="center"/>
        </w:trPr>
        <w:tc>
          <w:tcPr>
            <w:tcW w:w="9269" w:type="dxa"/>
            <w:gridSpan w:val="2"/>
            <w:tcBorders>
              <w:top w:val="single" w:color="000000" w:sz="4" w:space="0"/>
              <w:left w:val="single" w:color="000000" w:sz="4" w:space="0"/>
              <w:bottom w:val="single" w:color="000000" w:sz="4" w:space="0"/>
              <w:right w:val="single" w:color="000000" w:sz="4" w:space="0"/>
            </w:tcBorders>
          </w:tcPr>
          <w:p>
            <w:pPr>
              <w:widowControl/>
              <w:rPr>
                <w:rFonts w:ascii="宋体" w:hAnsi="宋体"/>
                <w:b/>
                <w:bCs/>
                <w:kern w:val="0"/>
                <w:sz w:val="24"/>
              </w:rPr>
            </w:pPr>
            <w:r>
              <w:rPr>
                <w:rFonts w:hint="eastAsia" w:ascii="宋体" w:hAnsi="宋体"/>
                <w:b/>
                <w:bCs/>
                <w:kern w:val="0"/>
                <w:sz w:val="24"/>
                <w:lang w:eastAsia="zh-CN"/>
              </w:rPr>
              <w:t>二级</w:t>
            </w:r>
            <w:r>
              <w:rPr>
                <w:rFonts w:hint="eastAsia" w:ascii="宋体" w:hAnsi="宋体"/>
                <w:b/>
                <w:bCs/>
                <w:kern w:val="0"/>
                <w:sz w:val="24"/>
              </w:rPr>
              <w:t>学院大学生创新训练计划开展情况与主要成效</w:t>
            </w:r>
          </w:p>
        </w:tc>
      </w:tr>
      <w:tr>
        <w:tblPrEx>
          <w:tblCellMar>
            <w:top w:w="0" w:type="dxa"/>
            <w:left w:w="108" w:type="dxa"/>
            <w:bottom w:w="0" w:type="dxa"/>
            <w:right w:w="108" w:type="dxa"/>
          </w:tblCellMar>
        </w:tblPrEx>
        <w:trPr>
          <w:trHeight w:val="3251" w:hRule="atLeast"/>
          <w:jc w:val="center"/>
        </w:trPr>
        <w:tc>
          <w:tcPr>
            <w:tcW w:w="9269" w:type="dxa"/>
            <w:gridSpan w:val="2"/>
            <w:tcBorders>
              <w:top w:val="single" w:color="000000" w:sz="4" w:space="0"/>
              <w:left w:val="single" w:color="000000" w:sz="4" w:space="0"/>
              <w:bottom w:val="single" w:color="000000" w:sz="4" w:space="0"/>
              <w:right w:val="single" w:color="000000" w:sz="4" w:space="0"/>
            </w:tcBorders>
          </w:tcPr>
          <w:p>
            <w:pPr>
              <w:snapToGrid w:val="0"/>
              <w:rPr>
                <w:b/>
                <w:bCs/>
                <w:sz w:val="24"/>
              </w:rPr>
            </w:pPr>
            <w:r>
              <w:rPr>
                <w:rFonts w:hint="eastAsia"/>
                <w:b/>
                <w:bCs/>
                <w:sz w:val="24"/>
                <w:lang w:eastAsia="zh-CN"/>
              </w:rPr>
              <w:t>二级</w:t>
            </w:r>
            <w:r>
              <w:rPr>
                <w:rFonts w:hint="eastAsia"/>
                <w:b/>
                <w:bCs/>
                <w:sz w:val="24"/>
              </w:rPr>
              <w:t>学院</w:t>
            </w:r>
            <w:r>
              <w:rPr>
                <w:b/>
                <w:bCs/>
                <w:sz w:val="24"/>
              </w:rPr>
              <w:t>近三年大学生创新</w:t>
            </w:r>
            <w:r>
              <w:rPr>
                <w:rFonts w:hint="eastAsia"/>
                <w:b/>
                <w:bCs/>
                <w:sz w:val="24"/>
              </w:rPr>
              <w:t>创业</w:t>
            </w:r>
            <w:r>
              <w:rPr>
                <w:b/>
                <w:bCs/>
                <w:sz w:val="24"/>
              </w:rPr>
              <w:t>训练计划项目完成情况</w:t>
            </w:r>
            <w:r>
              <w:rPr>
                <w:bCs/>
                <w:sz w:val="24"/>
              </w:rPr>
              <w:t>（指国家级</w:t>
            </w:r>
            <w:r>
              <w:rPr>
                <w:rFonts w:hint="eastAsia"/>
                <w:bCs/>
                <w:sz w:val="24"/>
              </w:rPr>
              <w:t>、省级、校级、院级</w:t>
            </w:r>
            <w:r>
              <w:rPr>
                <w:bCs/>
                <w:sz w:val="24"/>
              </w:rPr>
              <w:t>大学生创新训练计划的立项情况、进展情况和结题情况）</w:t>
            </w:r>
          </w:p>
          <w:p>
            <w:pPr>
              <w:widowControl/>
              <w:rPr>
                <w:rFonts w:ascii="宋体" w:hAnsi="宋体"/>
                <w:b/>
                <w:bCs/>
                <w:kern w:val="0"/>
                <w:sz w:val="24"/>
              </w:rPr>
            </w:pPr>
          </w:p>
        </w:tc>
      </w:tr>
    </w:tbl>
    <w:p/>
    <w:p>
      <w:pPr>
        <w:widowControl/>
        <w:spacing w:line="580" w:lineRule="exact"/>
        <w:rPr>
          <w:rFonts w:ascii="仿宋_GB2312" w:eastAsia="仿宋_GB2312"/>
          <w:bCs/>
          <w:sz w:val="32"/>
          <w:szCs w:val="32"/>
        </w:rPr>
      </w:pPr>
      <w:r>
        <w:br w:type="page"/>
      </w:r>
      <w:r>
        <w:rPr>
          <w:rFonts w:hint="eastAsia" w:ascii="仿宋_GB2312" w:hAnsi="仿宋_GB2312" w:eastAsia="仿宋_GB2312"/>
          <w:kern w:val="0"/>
          <w:sz w:val="30"/>
          <w:szCs w:val="30"/>
        </w:rPr>
        <w:t>附件2：</w:t>
      </w:r>
      <w:r>
        <w:rPr>
          <w:rFonts w:hint="eastAsia" w:ascii="仿宋_GB2312" w:eastAsia="仿宋_GB2312"/>
          <w:bCs/>
          <w:sz w:val="32"/>
          <w:szCs w:val="32"/>
        </w:rPr>
        <w:t>2018年省级大学生创新训练计划立项项目表</w:t>
      </w:r>
    </w:p>
    <w:tbl>
      <w:tblPr>
        <w:tblStyle w:val="5"/>
        <w:tblW w:w="921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82"/>
        <w:gridCol w:w="1412"/>
        <w:gridCol w:w="2649"/>
        <w:gridCol w:w="842"/>
        <w:gridCol w:w="1204"/>
        <w:gridCol w:w="1316"/>
        <w:gridCol w:w="13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19" w:hRule="atLeast"/>
          <w:tblHeader/>
          <w:jc w:val="center"/>
        </w:trPr>
        <w:tc>
          <w:tcPr>
            <w:tcW w:w="48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序号</w:t>
            </w:r>
          </w:p>
        </w:tc>
        <w:tc>
          <w:tcPr>
            <w:tcW w:w="141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学院</w:t>
            </w:r>
          </w:p>
        </w:tc>
        <w:tc>
          <w:tcPr>
            <w:tcW w:w="2649"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项目名称</w:t>
            </w:r>
          </w:p>
        </w:tc>
        <w:tc>
          <w:tcPr>
            <w:tcW w:w="84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 xml:space="preserve"> 项目类型 </w:t>
            </w:r>
          </w:p>
        </w:tc>
        <w:tc>
          <w:tcPr>
            <w:tcW w:w="1204"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项目负责人</w:t>
            </w:r>
          </w:p>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姓名</w:t>
            </w:r>
          </w:p>
        </w:tc>
        <w:tc>
          <w:tcPr>
            <w:tcW w:w="1316"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指导教师</w:t>
            </w:r>
          </w:p>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姓名</w:t>
            </w:r>
          </w:p>
        </w:tc>
        <w:tc>
          <w:tcPr>
            <w:tcW w:w="1305"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eastAsia="zh-CN"/>
              </w:rPr>
            </w:pPr>
            <w:r>
              <w:rPr>
                <w:rFonts w:hint="eastAsia" w:ascii="仿宋_GB2312" w:hAnsi="宋体" w:eastAsia="仿宋_GB2312" w:cs="Times New Roman"/>
                <w:sz w:val="20"/>
                <w:szCs w:val="20"/>
                <w:lang w:eastAsia="zh-CN"/>
              </w:rPr>
              <w:t>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48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1</w:t>
            </w:r>
          </w:p>
        </w:tc>
        <w:tc>
          <w:tcPr>
            <w:tcW w:w="141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医学院</w:t>
            </w:r>
          </w:p>
        </w:tc>
        <w:tc>
          <w:tcPr>
            <w:tcW w:w="2649"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Pgc-1α-/-和Pdx-1-cre/Kras-/+小鼠模型生物学特性及三黄汤干预机制</w:t>
            </w:r>
          </w:p>
        </w:tc>
        <w:tc>
          <w:tcPr>
            <w:tcW w:w="84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省级一般</w:t>
            </w:r>
          </w:p>
        </w:tc>
        <w:tc>
          <w:tcPr>
            <w:tcW w:w="1204"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孙雅斌,顾心如</w:t>
            </w:r>
          </w:p>
        </w:tc>
        <w:tc>
          <w:tcPr>
            <w:tcW w:w="1316"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方彭华</w:t>
            </w:r>
          </w:p>
        </w:tc>
        <w:tc>
          <w:tcPr>
            <w:tcW w:w="1305"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val="en-US" w:eastAsia="zh-CN"/>
              </w:rPr>
              <w:t>两年期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48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2</w:t>
            </w:r>
          </w:p>
        </w:tc>
        <w:tc>
          <w:tcPr>
            <w:tcW w:w="141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eastAsia="zh-CN"/>
              </w:rPr>
              <w:t>药</w:t>
            </w:r>
            <w:r>
              <w:rPr>
                <w:rFonts w:hint="eastAsia" w:ascii="仿宋_GB2312" w:hAnsi="宋体" w:eastAsia="仿宋_GB2312" w:cs="Times New Roman"/>
                <w:sz w:val="20"/>
                <w:szCs w:val="20"/>
              </w:rPr>
              <w:t>学院</w:t>
            </w:r>
          </w:p>
        </w:tc>
        <w:tc>
          <w:tcPr>
            <w:tcW w:w="2649"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银杏双黄酮的提取工艺研究</w:t>
            </w:r>
          </w:p>
        </w:tc>
        <w:tc>
          <w:tcPr>
            <w:tcW w:w="84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省级一般</w:t>
            </w:r>
          </w:p>
        </w:tc>
        <w:tc>
          <w:tcPr>
            <w:tcW w:w="1204"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吴娜,童莹莹</w:t>
            </w:r>
          </w:p>
        </w:tc>
        <w:tc>
          <w:tcPr>
            <w:tcW w:w="1316"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涂清波</w:t>
            </w:r>
          </w:p>
        </w:tc>
        <w:tc>
          <w:tcPr>
            <w:tcW w:w="1305"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val="en-US" w:eastAsia="zh-CN"/>
              </w:rPr>
              <w:t>一年期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48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3</w:t>
            </w:r>
          </w:p>
        </w:tc>
        <w:tc>
          <w:tcPr>
            <w:tcW w:w="141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eastAsia="zh-CN"/>
              </w:rPr>
            </w:pPr>
            <w:r>
              <w:rPr>
                <w:rFonts w:hint="eastAsia" w:ascii="仿宋_GB2312" w:hAnsi="宋体" w:eastAsia="仿宋_GB2312" w:cs="Times New Roman"/>
                <w:sz w:val="20"/>
                <w:szCs w:val="20"/>
                <w:lang w:eastAsia="zh-CN"/>
              </w:rPr>
              <w:t>护理学院</w:t>
            </w:r>
          </w:p>
        </w:tc>
        <w:tc>
          <w:tcPr>
            <w:tcW w:w="2649"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扬泰地区护生结核病防治知识、态度、行为及其影响因素研究</w:t>
            </w:r>
          </w:p>
        </w:tc>
        <w:tc>
          <w:tcPr>
            <w:tcW w:w="84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省级一般</w:t>
            </w:r>
          </w:p>
        </w:tc>
        <w:tc>
          <w:tcPr>
            <w:tcW w:w="1204"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龚洪滔,谈梦洁</w:t>
            </w:r>
          </w:p>
        </w:tc>
        <w:tc>
          <w:tcPr>
            <w:tcW w:w="1316"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申璐,蔡雷</w:t>
            </w:r>
          </w:p>
        </w:tc>
        <w:tc>
          <w:tcPr>
            <w:tcW w:w="1305"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val="en-US" w:eastAsia="zh-CN"/>
              </w:rPr>
              <w:t>两年期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48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4</w:t>
            </w:r>
          </w:p>
        </w:tc>
        <w:tc>
          <w:tcPr>
            <w:tcW w:w="141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eastAsia="zh-CN"/>
              </w:rPr>
              <w:t>卫生经济管理</w:t>
            </w:r>
            <w:r>
              <w:rPr>
                <w:rFonts w:hint="eastAsia" w:ascii="仿宋_GB2312" w:hAnsi="宋体" w:eastAsia="仿宋_GB2312" w:cs="Times New Roman"/>
                <w:sz w:val="20"/>
                <w:szCs w:val="20"/>
              </w:rPr>
              <w:t>学院</w:t>
            </w:r>
          </w:p>
        </w:tc>
        <w:tc>
          <w:tcPr>
            <w:tcW w:w="2649"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“互联网+”背景下泰州市社交电商发展影响因素研究</w:t>
            </w:r>
          </w:p>
        </w:tc>
        <w:tc>
          <w:tcPr>
            <w:tcW w:w="84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省级一般</w:t>
            </w:r>
          </w:p>
        </w:tc>
        <w:tc>
          <w:tcPr>
            <w:tcW w:w="1204"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朱甜,季徐</w:t>
            </w:r>
          </w:p>
        </w:tc>
        <w:tc>
          <w:tcPr>
            <w:tcW w:w="1316"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吴玲霞,翟菲</w:t>
            </w:r>
          </w:p>
        </w:tc>
        <w:tc>
          <w:tcPr>
            <w:tcW w:w="1305"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val="en-US" w:eastAsia="zh-CN"/>
              </w:rPr>
              <w:t>两年期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48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5</w:t>
            </w:r>
          </w:p>
        </w:tc>
        <w:tc>
          <w:tcPr>
            <w:tcW w:w="141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医学院</w:t>
            </w:r>
          </w:p>
        </w:tc>
        <w:tc>
          <w:tcPr>
            <w:tcW w:w="2649"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泰州地区医疗康复护理养老一体化现状研究</w:t>
            </w:r>
          </w:p>
        </w:tc>
        <w:tc>
          <w:tcPr>
            <w:tcW w:w="84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省级一般</w:t>
            </w:r>
          </w:p>
        </w:tc>
        <w:tc>
          <w:tcPr>
            <w:tcW w:w="1204"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任煜杰</w:t>
            </w:r>
          </w:p>
        </w:tc>
        <w:tc>
          <w:tcPr>
            <w:tcW w:w="1316"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朱珂璇,顾海</w:t>
            </w:r>
          </w:p>
        </w:tc>
        <w:tc>
          <w:tcPr>
            <w:tcW w:w="1305"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val="en-US" w:eastAsia="zh-CN"/>
              </w:rPr>
              <w:t>两年期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8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6</w:t>
            </w:r>
          </w:p>
        </w:tc>
        <w:tc>
          <w:tcPr>
            <w:tcW w:w="141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eastAsia="zh-CN"/>
              </w:rPr>
              <w:t>药</w:t>
            </w:r>
            <w:r>
              <w:rPr>
                <w:rFonts w:hint="eastAsia" w:ascii="仿宋_GB2312" w:hAnsi="宋体" w:eastAsia="仿宋_GB2312" w:cs="Times New Roman"/>
                <w:sz w:val="20"/>
                <w:szCs w:val="20"/>
              </w:rPr>
              <w:t>学院</w:t>
            </w:r>
          </w:p>
        </w:tc>
        <w:tc>
          <w:tcPr>
            <w:tcW w:w="2649"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天花粉-牡蛎配伍对2型糖尿病模型的药效学研究</w:t>
            </w:r>
          </w:p>
        </w:tc>
        <w:tc>
          <w:tcPr>
            <w:tcW w:w="84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省级一般</w:t>
            </w:r>
          </w:p>
        </w:tc>
        <w:tc>
          <w:tcPr>
            <w:tcW w:w="1204"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张晓枫,陈晶晶</w:t>
            </w:r>
          </w:p>
        </w:tc>
        <w:tc>
          <w:tcPr>
            <w:tcW w:w="1316"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孙伟翔</w:t>
            </w:r>
          </w:p>
        </w:tc>
        <w:tc>
          <w:tcPr>
            <w:tcW w:w="1305"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val="en-US" w:eastAsia="zh-CN"/>
              </w:rPr>
              <w:t>一年期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48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7</w:t>
            </w:r>
          </w:p>
        </w:tc>
        <w:tc>
          <w:tcPr>
            <w:tcW w:w="141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eastAsia="zh-CN"/>
              </w:rPr>
              <w:t>卫生经济管理</w:t>
            </w:r>
            <w:r>
              <w:rPr>
                <w:rFonts w:hint="eastAsia" w:ascii="仿宋_GB2312" w:hAnsi="宋体" w:eastAsia="仿宋_GB2312" w:cs="Times New Roman"/>
                <w:sz w:val="20"/>
                <w:szCs w:val="20"/>
              </w:rPr>
              <w:t>学院</w:t>
            </w:r>
          </w:p>
        </w:tc>
        <w:tc>
          <w:tcPr>
            <w:tcW w:w="2649"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互联网+智慧型养老服务模式探究</w:t>
            </w:r>
          </w:p>
        </w:tc>
        <w:tc>
          <w:tcPr>
            <w:tcW w:w="84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省级一般</w:t>
            </w:r>
          </w:p>
        </w:tc>
        <w:tc>
          <w:tcPr>
            <w:tcW w:w="1204"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李国杰,丁晓翠</w:t>
            </w:r>
          </w:p>
        </w:tc>
        <w:tc>
          <w:tcPr>
            <w:tcW w:w="1316"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乔木,田浩国</w:t>
            </w:r>
          </w:p>
        </w:tc>
        <w:tc>
          <w:tcPr>
            <w:tcW w:w="1305"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val="en-US" w:eastAsia="zh-CN"/>
              </w:rPr>
              <w:t>两年期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82" w:type="dxa"/>
            <w:shd w:val="clear" w:color="auto" w:fill="auto"/>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8</w:t>
            </w:r>
          </w:p>
        </w:tc>
        <w:tc>
          <w:tcPr>
            <w:tcW w:w="1412" w:type="dxa"/>
            <w:shd w:val="clear" w:color="auto" w:fill="auto"/>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eastAsia="zh-CN"/>
              </w:rPr>
              <w:t>药</w:t>
            </w:r>
            <w:r>
              <w:rPr>
                <w:rFonts w:hint="eastAsia" w:ascii="仿宋_GB2312" w:hAnsi="宋体" w:eastAsia="仿宋_GB2312" w:cs="Times New Roman"/>
                <w:sz w:val="20"/>
                <w:szCs w:val="20"/>
              </w:rPr>
              <w:t>学院</w:t>
            </w:r>
          </w:p>
        </w:tc>
        <w:tc>
          <w:tcPr>
            <w:tcW w:w="2649" w:type="dxa"/>
            <w:shd w:val="clear" w:color="auto" w:fill="auto"/>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茅苍术的土壤养分及药材质量相关性研究</w:t>
            </w:r>
          </w:p>
        </w:tc>
        <w:tc>
          <w:tcPr>
            <w:tcW w:w="842" w:type="dxa"/>
            <w:shd w:val="clear" w:color="auto" w:fill="auto"/>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省级一般</w:t>
            </w:r>
          </w:p>
        </w:tc>
        <w:tc>
          <w:tcPr>
            <w:tcW w:w="1204" w:type="dxa"/>
            <w:shd w:val="clear" w:color="auto" w:fill="auto"/>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王引,邢倩钰</w:t>
            </w:r>
          </w:p>
        </w:tc>
        <w:tc>
          <w:tcPr>
            <w:tcW w:w="1316" w:type="dxa"/>
            <w:shd w:val="clear" w:color="FFFF00" w:fill="auto"/>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张阿琴</w:t>
            </w:r>
          </w:p>
        </w:tc>
        <w:tc>
          <w:tcPr>
            <w:tcW w:w="1305" w:type="dxa"/>
            <w:shd w:val="clear" w:color="FFFF00" w:fill="auto"/>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val="en-US" w:eastAsia="zh-CN"/>
              </w:rPr>
              <w:t>一年期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48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9</w:t>
            </w:r>
          </w:p>
        </w:tc>
        <w:tc>
          <w:tcPr>
            <w:tcW w:w="141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eastAsia="zh-CN"/>
              </w:rPr>
              <w:t>药</w:t>
            </w:r>
            <w:r>
              <w:rPr>
                <w:rFonts w:hint="eastAsia" w:ascii="仿宋_GB2312" w:hAnsi="宋体" w:eastAsia="仿宋_GB2312" w:cs="Times New Roman"/>
                <w:sz w:val="20"/>
                <w:szCs w:val="20"/>
              </w:rPr>
              <w:t>学院</w:t>
            </w:r>
          </w:p>
        </w:tc>
        <w:tc>
          <w:tcPr>
            <w:tcW w:w="2649"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平卧菊三七提取物制备工艺研究</w:t>
            </w:r>
          </w:p>
        </w:tc>
        <w:tc>
          <w:tcPr>
            <w:tcW w:w="84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省级一般</w:t>
            </w:r>
          </w:p>
        </w:tc>
        <w:tc>
          <w:tcPr>
            <w:tcW w:w="1204"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刘俊,徐子跃</w:t>
            </w:r>
          </w:p>
        </w:tc>
        <w:tc>
          <w:tcPr>
            <w:tcW w:w="1316"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赵玉荣</w:t>
            </w:r>
          </w:p>
        </w:tc>
        <w:tc>
          <w:tcPr>
            <w:tcW w:w="1305"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val="en-US" w:eastAsia="zh-CN"/>
              </w:rPr>
              <w:t>一年期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48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10</w:t>
            </w:r>
          </w:p>
        </w:tc>
        <w:tc>
          <w:tcPr>
            <w:tcW w:w="141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eastAsia="zh-CN"/>
              </w:rPr>
              <w:t>卫生经济管理</w:t>
            </w:r>
            <w:r>
              <w:rPr>
                <w:rFonts w:hint="eastAsia" w:ascii="仿宋_GB2312" w:hAnsi="宋体" w:eastAsia="仿宋_GB2312" w:cs="Times New Roman"/>
                <w:sz w:val="20"/>
                <w:szCs w:val="20"/>
              </w:rPr>
              <w:t>学院</w:t>
            </w:r>
          </w:p>
        </w:tc>
        <w:tc>
          <w:tcPr>
            <w:tcW w:w="2649"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社区医疗机构慢性病老人就医行为选择及其影响因素研究</w:t>
            </w:r>
          </w:p>
        </w:tc>
        <w:tc>
          <w:tcPr>
            <w:tcW w:w="84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省级一般</w:t>
            </w:r>
          </w:p>
        </w:tc>
        <w:tc>
          <w:tcPr>
            <w:tcW w:w="1204"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潘云,王昊</w:t>
            </w:r>
          </w:p>
        </w:tc>
        <w:tc>
          <w:tcPr>
            <w:tcW w:w="1316"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单兰倩,吴玲霞</w:t>
            </w:r>
          </w:p>
        </w:tc>
        <w:tc>
          <w:tcPr>
            <w:tcW w:w="1305"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val="en-US" w:eastAsia="zh-CN"/>
              </w:rPr>
              <w:t>两年期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48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11</w:t>
            </w:r>
          </w:p>
        </w:tc>
        <w:tc>
          <w:tcPr>
            <w:tcW w:w="141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eastAsia="zh-CN"/>
              </w:rPr>
            </w:pPr>
            <w:r>
              <w:rPr>
                <w:rFonts w:hint="eastAsia" w:ascii="仿宋_GB2312" w:hAnsi="宋体" w:eastAsia="仿宋_GB2312" w:cs="Times New Roman"/>
                <w:sz w:val="20"/>
                <w:szCs w:val="20"/>
                <w:lang w:eastAsia="zh-CN"/>
              </w:rPr>
              <w:t>药学院</w:t>
            </w:r>
          </w:p>
        </w:tc>
        <w:tc>
          <w:tcPr>
            <w:tcW w:w="2649"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茅苍术的土壤微生物多样性研究</w:t>
            </w:r>
          </w:p>
        </w:tc>
        <w:tc>
          <w:tcPr>
            <w:tcW w:w="84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省级</w:t>
            </w:r>
            <w:r>
              <w:rPr>
                <w:rFonts w:hint="eastAsia" w:ascii="仿宋_GB2312" w:hAnsi="宋体" w:eastAsia="仿宋_GB2312" w:cs="Times New Roman"/>
                <w:sz w:val="20"/>
                <w:szCs w:val="20"/>
                <w:lang w:eastAsia="zh-CN"/>
              </w:rPr>
              <w:t>指导</w:t>
            </w:r>
          </w:p>
        </w:tc>
        <w:tc>
          <w:tcPr>
            <w:tcW w:w="1204"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沈晓超</w:t>
            </w:r>
          </w:p>
        </w:tc>
        <w:tc>
          <w:tcPr>
            <w:tcW w:w="1316"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徐晓芳,张阿琴</w:t>
            </w:r>
          </w:p>
        </w:tc>
        <w:tc>
          <w:tcPr>
            <w:tcW w:w="1305"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val="en-US" w:eastAsia="zh-CN"/>
              </w:rPr>
              <w:t>一年期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48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12</w:t>
            </w:r>
          </w:p>
        </w:tc>
        <w:tc>
          <w:tcPr>
            <w:tcW w:w="141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eastAsia="zh-CN"/>
              </w:rPr>
              <w:t>卫生经济管理</w:t>
            </w:r>
            <w:r>
              <w:rPr>
                <w:rFonts w:hint="eastAsia" w:ascii="仿宋_GB2312" w:hAnsi="宋体" w:eastAsia="仿宋_GB2312" w:cs="Times New Roman"/>
                <w:sz w:val="20"/>
                <w:szCs w:val="20"/>
              </w:rPr>
              <w:t>学院</w:t>
            </w:r>
          </w:p>
        </w:tc>
        <w:tc>
          <w:tcPr>
            <w:tcW w:w="2649"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大学生企业家培育路径研究——基于泰州几所高校的调查分析</w:t>
            </w:r>
          </w:p>
        </w:tc>
        <w:tc>
          <w:tcPr>
            <w:tcW w:w="84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省级</w:t>
            </w:r>
            <w:r>
              <w:rPr>
                <w:rFonts w:hint="eastAsia" w:ascii="仿宋_GB2312" w:hAnsi="宋体" w:eastAsia="仿宋_GB2312" w:cs="Times New Roman"/>
                <w:sz w:val="20"/>
                <w:szCs w:val="20"/>
                <w:lang w:eastAsia="zh-CN"/>
              </w:rPr>
              <w:t>指导</w:t>
            </w:r>
          </w:p>
        </w:tc>
        <w:tc>
          <w:tcPr>
            <w:tcW w:w="1204"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铎铮,洪睿锴</w:t>
            </w:r>
          </w:p>
        </w:tc>
        <w:tc>
          <w:tcPr>
            <w:tcW w:w="1316"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val="en-US" w:eastAsia="zh-CN"/>
              </w:rPr>
              <w:t>田娟,高登云</w:t>
            </w:r>
          </w:p>
        </w:tc>
        <w:tc>
          <w:tcPr>
            <w:tcW w:w="1305"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val="en-US" w:eastAsia="zh-CN"/>
              </w:rPr>
              <w:t>两年期</w:t>
            </w:r>
          </w:p>
        </w:tc>
      </w:tr>
    </w:tbl>
    <w:p>
      <w:pPr>
        <w:rPr>
          <w:rFonts w:ascii="仿宋_GB2312" w:eastAsia="仿宋_GB2312"/>
          <w:bCs/>
          <w:sz w:val="32"/>
          <w:szCs w:val="32"/>
        </w:rPr>
      </w:pPr>
    </w:p>
    <w:p>
      <w:pPr>
        <w:rPr>
          <w:rFonts w:ascii="仿宋_GB2312" w:eastAsia="仿宋_GB2312"/>
          <w:bCs/>
          <w:sz w:val="32"/>
          <w:szCs w:val="32"/>
        </w:rPr>
      </w:pPr>
    </w:p>
    <w:p>
      <w:pPr>
        <w:rPr>
          <w:rFonts w:ascii="仿宋_GB2312" w:eastAsia="仿宋_GB2312"/>
          <w:bCs/>
          <w:sz w:val="32"/>
          <w:szCs w:val="32"/>
        </w:rPr>
      </w:pPr>
    </w:p>
    <w:p>
      <w:pPr>
        <w:rPr>
          <w:rFonts w:ascii="仿宋_GB2312" w:eastAsia="仿宋_GB2312"/>
          <w:bCs/>
          <w:sz w:val="32"/>
          <w:szCs w:val="32"/>
        </w:rPr>
      </w:pPr>
    </w:p>
    <w:p>
      <w:pPr>
        <w:rPr>
          <w:rFonts w:ascii="仿宋_GB2312" w:eastAsia="仿宋_GB2312"/>
          <w:bCs/>
          <w:sz w:val="32"/>
          <w:szCs w:val="32"/>
        </w:rPr>
      </w:pPr>
    </w:p>
    <w:p>
      <w:pPr>
        <w:rPr>
          <w:rFonts w:ascii="仿宋_GB2312" w:eastAsia="仿宋_GB2312"/>
          <w:bCs/>
          <w:sz w:val="32"/>
          <w:szCs w:val="32"/>
        </w:rPr>
      </w:pPr>
    </w:p>
    <w:p>
      <w:pPr>
        <w:rPr>
          <w:rFonts w:ascii="仿宋_GB2312" w:eastAsia="仿宋_GB2312"/>
          <w:bCs/>
          <w:sz w:val="32"/>
          <w:szCs w:val="32"/>
        </w:rPr>
      </w:pPr>
    </w:p>
    <w:p>
      <w:pPr>
        <w:rPr>
          <w:rFonts w:hint="eastAsia" w:ascii="仿宋_GB2312" w:eastAsia="仿宋_GB2312"/>
          <w:bCs/>
          <w:sz w:val="32"/>
          <w:szCs w:val="32"/>
        </w:rPr>
      </w:pPr>
      <w:r>
        <w:rPr>
          <w:rFonts w:hint="eastAsia" w:ascii="仿宋_GB2312" w:hAnsi="仿宋_GB2312" w:eastAsia="仿宋_GB2312"/>
          <w:kern w:val="0"/>
          <w:sz w:val="30"/>
          <w:szCs w:val="30"/>
        </w:rPr>
        <w:t>附件3：</w:t>
      </w:r>
      <w:r>
        <w:rPr>
          <w:rFonts w:hint="eastAsia" w:ascii="仿宋_GB2312" w:eastAsia="仿宋_GB2312"/>
          <w:bCs/>
          <w:sz w:val="32"/>
          <w:szCs w:val="32"/>
        </w:rPr>
        <w:t>201</w:t>
      </w:r>
      <w:r>
        <w:rPr>
          <w:rFonts w:hint="eastAsia" w:ascii="仿宋_GB2312" w:eastAsia="仿宋_GB2312"/>
          <w:bCs/>
          <w:sz w:val="32"/>
          <w:szCs w:val="32"/>
          <w:lang w:val="en-US" w:eastAsia="zh-CN"/>
        </w:rPr>
        <w:t>9</w:t>
      </w:r>
      <w:r>
        <w:rPr>
          <w:rFonts w:hint="eastAsia" w:ascii="仿宋_GB2312" w:eastAsia="仿宋_GB2312"/>
          <w:bCs/>
          <w:sz w:val="32"/>
          <w:szCs w:val="32"/>
        </w:rPr>
        <w:t>年省级大学生创新训练计划立项项目表</w:t>
      </w:r>
    </w:p>
    <w:tbl>
      <w:tblPr>
        <w:tblStyle w:val="5"/>
        <w:tblW w:w="921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82"/>
        <w:gridCol w:w="1412"/>
        <w:gridCol w:w="2649"/>
        <w:gridCol w:w="842"/>
        <w:gridCol w:w="1204"/>
        <w:gridCol w:w="1316"/>
        <w:gridCol w:w="13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19" w:hRule="atLeast"/>
          <w:tblHeader/>
          <w:jc w:val="center"/>
        </w:trPr>
        <w:tc>
          <w:tcPr>
            <w:tcW w:w="48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序号</w:t>
            </w:r>
          </w:p>
        </w:tc>
        <w:tc>
          <w:tcPr>
            <w:tcW w:w="141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学院</w:t>
            </w:r>
          </w:p>
        </w:tc>
        <w:tc>
          <w:tcPr>
            <w:tcW w:w="2649"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项目名称</w:t>
            </w:r>
          </w:p>
        </w:tc>
        <w:tc>
          <w:tcPr>
            <w:tcW w:w="84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 xml:space="preserve"> 项目类型 </w:t>
            </w:r>
          </w:p>
        </w:tc>
        <w:tc>
          <w:tcPr>
            <w:tcW w:w="1204"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项目负责人</w:t>
            </w:r>
          </w:p>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姓名</w:t>
            </w:r>
          </w:p>
        </w:tc>
        <w:tc>
          <w:tcPr>
            <w:tcW w:w="1316"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指导教师</w:t>
            </w:r>
          </w:p>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姓名</w:t>
            </w:r>
          </w:p>
        </w:tc>
        <w:tc>
          <w:tcPr>
            <w:tcW w:w="1305"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eastAsia="zh-CN"/>
              </w:rPr>
            </w:pPr>
            <w:r>
              <w:rPr>
                <w:rFonts w:hint="eastAsia" w:ascii="仿宋_GB2312" w:hAnsi="宋体" w:eastAsia="仿宋_GB2312" w:cs="Times New Roman"/>
                <w:sz w:val="20"/>
                <w:szCs w:val="20"/>
                <w:lang w:eastAsia="zh-CN"/>
              </w:rPr>
              <w:t>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48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1</w:t>
            </w:r>
          </w:p>
        </w:tc>
        <w:tc>
          <w:tcPr>
            <w:tcW w:w="141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val="en-US" w:eastAsia="zh-CN"/>
              </w:rPr>
              <w:t>药学院</w:t>
            </w:r>
          </w:p>
        </w:tc>
        <w:tc>
          <w:tcPr>
            <w:tcW w:w="2649"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eastAsia="zh-CN"/>
              </w:rPr>
            </w:pPr>
            <w:r>
              <w:rPr>
                <w:rFonts w:hint="eastAsia" w:ascii="仿宋_GB2312" w:hAnsi="宋体" w:eastAsia="仿宋_GB2312" w:cs="Times New Roman"/>
                <w:sz w:val="20"/>
                <w:szCs w:val="20"/>
                <w:lang w:eastAsia="zh-CN"/>
              </w:rPr>
              <w:t>山楂叶总黄酮缓释微丸的制备工艺研究</w:t>
            </w:r>
          </w:p>
        </w:tc>
        <w:tc>
          <w:tcPr>
            <w:tcW w:w="84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省级一般</w:t>
            </w:r>
          </w:p>
        </w:tc>
        <w:tc>
          <w:tcPr>
            <w:tcW w:w="1204"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宋文沁</w:t>
            </w:r>
            <w:r>
              <w:rPr>
                <w:rFonts w:hint="eastAsia" w:ascii="仿宋_GB2312" w:hAnsi="宋体" w:eastAsia="仿宋_GB2312" w:cs="Times New Roman"/>
                <w:sz w:val="20"/>
                <w:szCs w:val="20"/>
                <w:lang w:eastAsia="zh-CN"/>
              </w:rPr>
              <w:t>、</w:t>
            </w:r>
            <w:r>
              <w:rPr>
                <w:rFonts w:hint="eastAsia" w:ascii="仿宋_GB2312" w:hAnsi="宋体" w:eastAsia="仿宋_GB2312" w:cs="Times New Roman"/>
                <w:sz w:val="20"/>
                <w:szCs w:val="20"/>
              </w:rPr>
              <w:t>姜泽楠</w:t>
            </w:r>
          </w:p>
        </w:tc>
        <w:tc>
          <w:tcPr>
            <w:tcW w:w="1316" w:type="dxa"/>
            <w:tcMar>
              <w:top w:w="15" w:type="dxa"/>
              <w:left w:w="15" w:type="dxa"/>
              <w:bottom w:w="0" w:type="dxa"/>
              <w:right w:w="15" w:type="dxa"/>
            </w:tcMar>
            <w:vAlign w:val="center"/>
          </w:tcPr>
          <w:p>
            <w:pPr>
              <w:keepNext w:val="0"/>
              <w:keepLines w:val="0"/>
              <w:widowControl/>
              <w:suppressLineNumbers w:val="0"/>
              <w:jc w:val="center"/>
              <w:textAlignment w:val="center"/>
              <w:rPr>
                <w:rFonts w:hint="eastAsia" w:ascii="仿宋_GB2312" w:hAnsi="宋体" w:eastAsia="仿宋_GB2312" w:cs="Times New Roman"/>
                <w:sz w:val="20"/>
                <w:szCs w:val="20"/>
              </w:rPr>
            </w:pPr>
            <w:r>
              <w:rPr>
                <w:rStyle w:val="14"/>
                <w:rFonts w:hAnsi="Times New Roman"/>
                <w:lang w:val="en-US" w:eastAsia="zh-CN" w:bidi="ar"/>
              </w:rPr>
              <w:t>吕志阳</w:t>
            </w:r>
            <w:r>
              <w:rPr>
                <w:rStyle w:val="15"/>
                <w:rFonts w:eastAsia="宋体"/>
                <w:lang w:val="en-US" w:eastAsia="zh-CN" w:bidi="ar"/>
              </w:rPr>
              <w:t>,</w:t>
            </w:r>
            <w:r>
              <w:rPr>
                <w:rStyle w:val="14"/>
                <w:rFonts w:hAnsi="Times New Roman"/>
                <w:lang w:val="en-US" w:eastAsia="zh-CN" w:bidi="ar"/>
              </w:rPr>
              <w:t>陈璟</w:t>
            </w:r>
          </w:p>
        </w:tc>
        <w:tc>
          <w:tcPr>
            <w:tcW w:w="1305"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val="en-US" w:eastAsia="zh-CN"/>
              </w:rPr>
              <w:t>一年期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48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2</w:t>
            </w:r>
          </w:p>
        </w:tc>
        <w:tc>
          <w:tcPr>
            <w:tcW w:w="141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val="en-US" w:eastAsia="zh-CN"/>
              </w:rPr>
              <w:t>药学院</w:t>
            </w:r>
          </w:p>
        </w:tc>
        <w:tc>
          <w:tcPr>
            <w:tcW w:w="2649"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eastAsia="zh-CN"/>
              </w:rPr>
            </w:pPr>
            <w:r>
              <w:rPr>
                <w:rFonts w:hint="eastAsia" w:ascii="仿宋_GB2312" w:hAnsi="宋体" w:eastAsia="仿宋_GB2312" w:cs="Times New Roman"/>
                <w:sz w:val="20"/>
                <w:szCs w:val="20"/>
                <w:lang w:eastAsia="zh-CN"/>
              </w:rPr>
              <w:t>小茴香油微乳凝胶的制备</w:t>
            </w:r>
          </w:p>
        </w:tc>
        <w:tc>
          <w:tcPr>
            <w:tcW w:w="84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省级一般</w:t>
            </w:r>
          </w:p>
        </w:tc>
        <w:tc>
          <w:tcPr>
            <w:tcW w:w="1204"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李浩榕</w:t>
            </w:r>
          </w:p>
        </w:tc>
        <w:tc>
          <w:tcPr>
            <w:tcW w:w="1316" w:type="dxa"/>
            <w:tcMar>
              <w:top w:w="15" w:type="dxa"/>
              <w:left w:w="15" w:type="dxa"/>
              <w:bottom w:w="0" w:type="dxa"/>
              <w:right w:w="15" w:type="dxa"/>
            </w:tcMar>
            <w:vAlign w:val="center"/>
          </w:tcPr>
          <w:p>
            <w:pPr>
              <w:keepNext w:val="0"/>
              <w:keepLines w:val="0"/>
              <w:widowControl/>
              <w:suppressLineNumbers w:val="0"/>
              <w:jc w:val="center"/>
              <w:textAlignment w:val="center"/>
              <w:rPr>
                <w:rFonts w:hint="eastAsia" w:ascii="仿宋_GB2312" w:hAnsi="宋体" w:eastAsia="仿宋_GB2312" w:cs="Times New Roman"/>
                <w:sz w:val="20"/>
                <w:szCs w:val="20"/>
              </w:rPr>
            </w:pPr>
            <w:r>
              <w:rPr>
                <w:rStyle w:val="14"/>
                <w:rFonts w:hAnsi="Times New Roman"/>
                <w:lang w:val="en-US" w:eastAsia="zh-CN" w:bidi="ar"/>
              </w:rPr>
              <w:t>陆姗姗</w:t>
            </w:r>
          </w:p>
        </w:tc>
        <w:tc>
          <w:tcPr>
            <w:tcW w:w="1305"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val="en-US" w:eastAsia="zh-CN"/>
              </w:rPr>
              <w:t>两年期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48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3</w:t>
            </w:r>
          </w:p>
        </w:tc>
        <w:tc>
          <w:tcPr>
            <w:tcW w:w="141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val="en-US" w:eastAsia="zh-CN"/>
              </w:rPr>
              <w:t>药学院</w:t>
            </w:r>
          </w:p>
        </w:tc>
        <w:tc>
          <w:tcPr>
            <w:tcW w:w="2649"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eastAsia="zh-CN"/>
              </w:rPr>
            </w:pPr>
            <w:r>
              <w:rPr>
                <w:rFonts w:hint="eastAsia" w:ascii="仿宋_GB2312" w:hAnsi="宋体" w:eastAsia="仿宋_GB2312" w:cs="Times New Roman"/>
                <w:sz w:val="20"/>
                <w:szCs w:val="20"/>
                <w:lang w:eastAsia="zh-CN"/>
              </w:rPr>
              <w:t>大孔树脂纯化平卧菊三七总有机酸的工艺研究</w:t>
            </w:r>
          </w:p>
        </w:tc>
        <w:tc>
          <w:tcPr>
            <w:tcW w:w="84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省级一般</w:t>
            </w:r>
          </w:p>
        </w:tc>
        <w:tc>
          <w:tcPr>
            <w:tcW w:w="1204"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曾锐</w:t>
            </w:r>
          </w:p>
        </w:tc>
        <w:tc>
          <w:tcPr>
            <w:tcW w:w="1316" w:type="dxa"/>
            <w:tcMar>
              <w:top w:w="15" w:type="dxa"/>
              <w:left w:w="15" w:type="dxa"/>
              <w:bottom w:w="0" w:type="dxa"/>
              <w:right w:w="15" w:type="dxa"/>
            </w:tcMar>
            <w:vAlign w:val="center"/>
          </w:tcPr>
          <w:p>
            <w:pPr>
              <w:keepNext w:val="0"/>
              <w:keepLines w:val="0"/>
              <w:widowControl/>
              <w:suppressLineNumbers w:val="0"/>
              <w:jc w:val="center"/>
              <w:textAlignment w:val="center"/>
              <w:rPr>
                <w:rFonts w:hint="eastAsia" w:ascii="仿宋_GB2312" w:hAnsi="宋体" w:eastAsia="仿宋_GB2312" w:cs="Times New Roman"/>
                <w:sz w:val="20"/>
                <w:szCs w:val="20"/>
              </w:rPr>
            </w:pPr>
            <w:r>
              <w:rPr>
                <w:rStyle w:val="14"/>
                <w:rFonts w:hAnsi="Times New Roman"/>
                <w:lang w:val="en-US" w:eastAsia="zh-CN" w:bidi="ar"/>
              </w:rPr>
              <w:t>赵玉荣</w:t>
            </w:r>
          </w:p>
        </w:tc>
        <w:tc>
          <w:tcPr>
            <w:tcW w:w="1305"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val="en-US" w:eastAsia="zh-CN"/>
              </w:rPr>
              <w:t>一年期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48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4</w:t>
            </w:r>
          </w:p>
        </w:tc>
        <w:tc>
          <w:tcPr>
            <w:tcW w:w="141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val="en-US" w:eastAsia="zh-CN"/>
              </w:rPr>
              <w:t>药学院</w:t>
            </w:r>
          </w:p>
        </w:tc>
        <w:tc>
          <w:tcPr>
            <w:tcW w:w="2649"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eastAsia="zh-CN"/>
              </w:rPr>
            </w:pPr>
            <w:r>
              <w:rPr>
                <w:rFonts w:hint="eastAsia" w:ascii="仿宋_GB2312" w:hAnsi="宋体" w:eastAsia="仿宋_GB2312" w:cs="Times New Roman"/>
                <w:sz w:val="20"/>
                <w:szCs w:val="20"/>
                <w:lang w:eastAsia="zh-CN"/>
              </w:rPr>
              <w:t>秦艽水煎液对豚鼠动脉粥样硬化改善作用</w:t>
            </w:r>
          </w:p>
        </w:tc>
        <w:tc>
          <w:tcPr>
            <w:tcW w:w="84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省级一般</w:t>
            </w:r>
          </w:p>
        </w:tc>
        <w:tc>
          <w:tcPr>
            <w:tcW w:w="1204"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谢思远</w:t>
            </w:r>
          </w:p>
        </w:tc>
        <w:tc>
          <w:tcPr>
            <w:tcW w:w="1316" w:type="dxa"/>
            <w:tcMar>
              <w:top w:w="15" w:type="dxa"/>
              <w:left w:w="15" w:type="dxa"/>
              <w:bottom w:w="0" w:type="dxa"/>
              <w:right w:w="15" w:type="dxa"/>
            </w:tcMar>
            <w:vAlign w:val="center"/>
          </w:tcPr>
          <w:p>
            <w:pPr>
              <w:keepNext w:val="0"/>
              <w:keepLines w:val="0"/>
              <w:widowControl/>
              <w:suppressLineNumbers w:val="0"/>
              <w:jc w:val="center"/>
              <w:textAlignment w:val="center"/>
              <w:rPr>
                <w:rFonts w:hint="eastAsia" w:ascii="仿宋_GB2312" w:hAnsi="宋体" w:eastAsia="仿宋_GB2312" w:cs="Times New Roman"/>
                <w:sz w:val="20"/>
                <w:szCs w:val="20"/>
              </w:rPr>
            </w:pPr>
            <w:r>
              <w:rPr>
                <w:rStyle w:val="14"/>
                <w:rFonts w:hAnsi="Times New Roman"/>
                <w:lang w:val="en-US" w:eastAsia="zh-CN" w:bidi="ar"/>
              </w:rPr>
              <w:t>张晓平</w:t>
            </w:r>
          </w:p>
        </w:tc>
        <w:tc>
          <w:tcPr>
            <w:tcW w:w="1305"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val="en-US" w:eastAsia="zh-CN"/>
              </w:rPr>
              <w:t>一年期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48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5</w:t>
            </w:r>
          </w:p>
        </w:tc>
        <w:tc>
          <w:tcPr>
            <w:tcW w:w="141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val="en-US" w:eastAsia="zh-CN"/>
              </w:rPr>
              <w:t>药学院</w:t>
            </w:r>
          </w:p>
        </w:tc>
        <w:tc>
          <w:tcPr>
            <w:tcW w:w="2649"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eastAsia="zh-CN"/>
              </w:rPr>
            </w:pPr>
            <w:r>
              <w:rPr>
                <w:rFonts w:hint="eastAsia" w:ascii="仿宋_GB2312" w:hAnsi="宋体" w:eastAsia="仿宋_GB2312" w:cs="Times New Roman"/>
                <w:sz w:val="20"/>
                <w:szCs w:val="20"/>
                <w:lang w:eastAsia="zh-CN"/>
              </w:rPr>
              <w:t>葛根-黄芪配伍水提液对酒精型肝损伤模型的药效学研究</w:t>
            </w:r>
          </w:p>
        </w:tc>
        <w:tc>
          <w:tcPr>
            <w:tcW w:w="84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省级一般</w:t>
            </w:r>
          </w:p>
        </w:tc>
        <w:tc>
          <w:tcPr>
            <w:tcW w:w="1204"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陈奕帆、刘应</w:t>
            </w:r>
          </w:p>
        </w:tc>
        <w:tc>
          <w:tcPr>
            <w:tcW w:w="1316" w:type="dxa"/>
            <w:tcMar>
              <w:top w:w="15" w:type="dxa"/>
              <w:left w:w="15" w:type="dxa"/>
              <w:bottom w:w="0" w:type="dxa"/>
              <w:right w:w="15" w:type="dxa"/>
            </w:tcMar>
            <w:vAlign w:val="center"/>
          </w:tcPr>
          <w:p>
            <w:pPr>
              <w:keepNext w:val="0"/>
              <w:keepLines w:val="0"/>
              <w:widowControl/>
              <w:suppressLineNumbers w:val="0"/>
              <w:jc w:val="center"/>
              <w:textAlignment w:val="center"/>
              <w:rPr>
                <w:rFonts w:hint="eastAsia" w:ascii="仿宋_GB2312" w:hAnsi="宋体" w:eastAsia="仿宋_GB2312" w:cs="Times New Roman"/>
                <w:sz w:val="20"/>
                <w:szCs w:val="20"/>
              </w:rPr>
            </w:pPr>
            <w:r>
              <w:rPr>
                <w:rStyle w:val="14"/>
                <w:rFonts w:hAnsi="Times New Roman"/>
                <w:lang w:val="en-US" w:eastAsia="zh-CN" w:bidi="ar"/>
              </w:rPr>
              <w:t>戴炜辰</w:t>
            </w:r>
          </w:p>
        </w:tc>
        <w:tc>
          <w:tcPr>
            <w:tcW w:w="1305"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val="en-US" w:eastAsia="zh-CN"/>
              </w:rPr>
              <w:t>一年期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8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6</w:t>
            </w:r>
          </w:p>
        </w:tc>
        <w:tc>
          <w:tcPr>
            <w:tcW w:w="141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val="en-US" w:eastAsia="zh-CN"/>
              </w:rPr>
              <w:t>药学院</w:t>
            </w:r>
          </w:p>
        </w:tc>
        <w:tc>
          <w:tcPr>
            <w:tcW w:w="2649"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eastAsia="zh-CN"/>
              </w:rPr>
            </w:pPr>
            <w:r>
              <w:rPr>
                <w:rFonts w:hint="eastAsia" w:ascii="仿宋_GB2312" w:hAnsi="宋体" w:eastAsia="仿宋_GB2312" w:cs="Times New Roman"/>
                <w:sz w:val="20"/>
                <w:szCs w:val="20"/>
                <w:lang w:eastAsia="zh-CN"/>
              </w:rPr>
              <w:t>桔梗-甘草及其配伍对高脂血症模型的药效学研究</w:t>
            </w:r>
          </w:p>
        </w:tc>
        <w:tc>
          <w:tcPr>
            <w:tcW w:w="84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省级一般</w:t>
            </w:r>
          </w:p>
        </w:tc>
        <w:tc>
          <w:tcPr>
            <w:tcW w:w="1204"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夏爽、王鼎</w:t>
            </w:r>
          </w:p>
        </w:tc>
        <w:tc>
          <w:tcPr>
            <w:tcW w:w="1316" w:type="dxa"/>
            <w:tcMar>
              <w:top w:w="15" w:type="dxa"/>
              <w:left w:w="15" w:type="dxa"/>
              <w:bottom w:w="0" w:type="dxa"/>
              <w:right w:w="15" w:type="dxa"/>
            </w:tcMar>
            <w:vAlign w:val="center"/>
          </w:tcPr>
          <w:p>
            <w:pPr>
              <w:keepNext w:val="0"/>
              <w:keepLines w:val="0"/>
              <w:widowControl/>
              <w:suppressLineNumbers w:val="0"/>
              <w:jc w:val="center"/>
              <w:textAlignment w:val="center"/>
              <w:rPr>
                <w:rFonts w:hint="eastAsia" w:ascii="仿宋_GB2312" w:hAnsi="宋体" w:eastAsia="仿宋_GB2312" w:cs="Times New Roman"/>
                <w:sz w:val="20"/>
                <w:szCs w:val="20"/>
              </w:rPr>
            </w:pPr>
            <w:r>
              <w:rPr>
                <w:rStyle w:val="14"/>
                <w:rFonts w:hAnsi="Times New Roman"/>
                <w:lang w:val="en-US" w:eastAsia="zh-CN" w:bidi="ar"/>
              </w:rPr>
              <w:t>杨蕾</w:t>
            </w:r>
          </w:p>
        </w:tc>
        <w:tc>
          <w:tcPr>
            <w:tcW w:w="1305"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val="en-US" w:eastAsia="zh-CN"/>
              </w:rPr>
              <w:t>一年期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48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7</w:t>
            </w:r>
          </w:p>
        </w:tc>
        <w:tc>
          <w:tcPr>
            <w:tcW w:w="141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val="en-US" w:eastAsia="zh-CN"/>
              </w:rPr>
              <w:t>药学院</w:t>
            </w:r>
          </w:p>
        </w:tc>
        <w:tc>
          <w:tcPr>
            <w:tcW w:w="2649"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eastAsia="zh-CN"/>
              </w:rPr>
            </w:pPr>
            <w:r>
              <w:rPr>
                <w:rFonts w:hint="eastAsia" w:ascii="仿宋_GB2312" w:hAnsi="宋体" w:eastAsia="仿宋_GB2312" w:cs="Times New Roman"/>
                <w:sz w:val="20"/>
                <w:szCs w:val="20"/>
                <w:lang w:eastAsia="zh-CN"/>
              </w:rPr>
              <w:t>黑果枸杞水煎液对慢性温和刺激抑郁模型小鼠的抗抑郁症作用效应研究</w:t>
            </w:r>
          </w:p>
        </w:tc>
        <w:tc>
          <w:tcPr>
            <w:tcW w:w="84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省级一般</w:t>
            </w:r>
          </w:p>
        </w:tc>
        <w:tc>
          <w:tcPr>
            <w:tcW w:w="1204"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朱思元、吴青璇</w:t>
            </w:r>
          </w:p>
        </w:tc>
        <w:tc>
          <w:tcPr>
            <w:tcW w:w="1316" w:type="dxa"/>
            <w:tcMar>
              <w:top w:w="15" w:type="dxa"/>
              <w:left w:w="15" w:type="dxa"/>
              <w:bottom w:w="0" w:type="dxa"/>
              <w:right w:w="15" w:type="dxa"/>
            </w:tcMar>
            <w:vAlign w:val="center"/>
          </w:tcPr>
          <w:p>
            <w:pPr>
              <w:keepNext w:val="0"/>
              <w:keepLines w:val="0"/>
              <w:widowControl/>
              <w:suppressLineNumbers w:val="0"/>
              <w:jc w:val="center"/>
              <w:textAlignment w:val="center"/>
              <w:rPr>
                <w:rFonts w:hint="eastAsia" w:ascii="仿宋_GB2312" w:hAnsi="宋体" w:eastAsia="仿宋_GB2312" w:cs="Times New Roman"/>
                <w:sz w:val="20"/>
                <w:szCs w:val="20"/>
              </w:rPr>
            </w:pPr>
            <w:r>
              <w:rPr>
                <w:rStyle w:val="14"/>
                <w:rFonts w:hAnsi="Times New Roman"/>
                <w:lang w:val="en-US" w:eastAsia="zh-CN" w:bidi="ar"/>
              </w:rPr>
              <w:t>孙伟翔</w:t>
            </w:r>
            <w:r>
              <w:rPr>
                <w:rStyle w:val="15"/>
                <w:rFonts w:eastAsia="宋体"/>
                <w:lang w:val="en-US" w:eastAsia="zh-CN" w:bidi="ar"/>
              </w:rPr>
              <w:t>,</w:t>
            </w:r>
            <w:r>
              <w:rPr>
                <w:rStyle w:val="14"/>
                <w:rFonts w:hAnsi="Times New Roman"/>
                <w:lang w:val="en-US" w:eastAsia="zh-CN" w:bidi="ar"/>
              </w:rPr>
              <w:t>顾正兵</w:t>
            </w:r>
          </w:p>
        </w:tc>
        <w:tc>
          <w:tcPr>
            <w:tcW w:w="1305"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val="en-US" w:eastAsia="zh-CN"/>
              </w:rPr>
              <w:t>一年期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482" w:type="dxa"/>
            <w:shd w:val="clear" w:color="auto" w:fill="auto"/>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8</w:t>
            </w:r>
          </w:p>
        </w:tc>
        <w:tc>
          <w:tcPr>
            <w:tcW w:w="1412" w:type="dxa"/>
            <w:shd w:val="clear" w:color="auto" w:fill="auto"/>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val="en-US" w:eastAsia="zh-CN"/>
              </w:rPr>
              <w:t>药学院</w:t>
            </w:r>
          </w:p>
        </w:tc>
        <w:tc>
          <w:tcPr>
            <w:tcW w:w="2649" w:type="dxa"/>
            <w:shd w:val="clear" w:color="auto" w:fill="auto"/>
            <w:tcMar>
              <w:top w:w="15" w:type="dxa"/>
              <w:left w:w="15" w:type="dxa"/>
              <w:bottom w:w="0" w:type="dxa"/>
              <w:right w:w="15" w:type="dxa"/>
            </w:tcMar>
            <w:vAlign w:val="center"/>
          </w:tcPr>
          <w:p>
            <w:pPr>
              <w:jc w:val="center"/>
              <w:rPr>
                <w:rFonts w:hint="eastAsia" w:ascii="仿宋_GB2312" w:hAnsi="宋体" w:eastAsia="仿宋_GB2312" w:cs="Times New Roman"/>
                <w:sz w:val="20"/>
                <w:szCs w:val="20"/>
                <w:lang w:eastAsia="zh-CN"/>
              </w:rPr>
            </w:pPr>
            <w:r>
              <w:rPr>
                <w:rFonts w:hint="eastAsia" w:ascii="仿宋_GB2312" w:hAnsi="宋体" w:eastAsia="仿宋_GB2312" w:cs="Times New Roman"/>
                <w:sz w:val="20"/>
                <w:szCs w:val="20"/>
                <w:lang w:eastAsia="zh-CN"/>
              </w:rPr>
              <w:t>中西药联合使用的现状及不良反应的调查研究</w:t>
            </w:r>
          </w:p>
        </w:tc>
        <w:tc>
          <w:tcPr>
            <w:tcW w:w="842" w:type="dxa"/>
            <w:shd w:val="clear" w:color="auto" w:fill="auto"/>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省级一般</w:t>
            </w:r>
          </w:p>
        </w:tc>
        <w:tc>
          <w:tcPr>
            <w:tcW w:w="1204" w:type="dxa"/>
            <w:shd w:val="clear" w:color="auto" w:fill="auto"/>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徐金璐</w:t>
            </w:r>
          </w:p>
        </w:tc>
        <w:tc>
          <w:tcPr>
            <w:tcW w:w="1316" w:type="dxa"/>
            <w:shd w:val="clear" w:color="FFFF00" w:fill="auto"/>
            <w:tcMar>
              <w:top w:w="15" w:type="dxa"/>
              <w:left w:w="15" w:type="dxa"/>
              <w:bottom w:w="0" w:type="dxa"/>
              <w:right w:w="15" w:type="dxa"/>
            </w:tcMar>
            <w:vAlign w:val="center"/>
          </w:tcPr>
          <w:p>
            <w:pPr>
              <w:keepNext w:val="0"/>
              <w:keepLines w:val="0"/>
              <w:widowControl/>
              <w:suppressLineNumbers w:val="0"/>
              <w:jc w:val="center"/>
              <w:textAlignment w:val="center"/>
              <w:rPr>
                <w:rFonts w:hint="eastAsia" w:ascii="仿宋_GB2312" w:hAnsi="宋体" w:eastAsia="仿宋_GB2312" w:cs="Times New Roman"/>
                <w:sz w:val="20"/>
                <w:szCs w:val="20"/>
              </w:rPr>
            </w:pPr>
            <w:r>
              <w:rPr>
                <w:rStyle w:val="14"/>
                <w:rFonts w:hAnsi="Times New Roman"/>
                <w:lang w:val="en-US" w:eastAsia="zh-CN" w:bidi="ar"/>
              </w:rPr>
              <w:t>朱安宏</w:t>
            </w:r>
          </w:p>
        </w:tc>
        <w:tc>
          <w:tcPr>
            <w:tcW w:w="1305" w:type="dxa"/>
            <w:shd w:val="clear" w:color="FFFF00" w:fill="auto"/>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val="en-US" w:eastAsia="zh-CN"/>
              </w:rPr>
              <w:t>一年期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48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9</w:t>
            </w:r>
          </w:p>
        </w:tc>
        <w:tc>
          <w:tcPr>
            <w:tcW w:w="141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val="en-US" w:eastAsia="zh-CN"/>
              </w:rPr>
              <w:t>药学院</w:t>
            </w:r>
          </w:p>
        </w:tc>
        <w:tc>
          <w:tcPr>
            <w:tcW w:w="2649"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eastAsia="zh-CN"/>
              </w:rPr>
            </w:pPr>
            <w:r>
              <w:rPr>
                <w:rFonts w:hint="eastAsia" w:ascii="仿宋_GB2312" w:hAnsi="宋体" w:eastAsia="仿宋_GB2312" w:cs="Times New Roman"/>
                <w:sz w:val="20"/>
                <w:szCs w:val="20"/>
                <w:lang w:eastAsia="zh-CN"/>
              </w:rPr>
              <w:t>基于复杂网络技术的菘蓝植物不同药用部位功效比较研究</w:t>
            </w:r>
          </w:p>
        </w:tc>
        <w:tc>
          <w:tcPr>
            <w:tcW w:w="84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省级一般</w:t>
            </w:r>
          </w:p>
        </w:tc>
        <w:tc>
          <w:tcPr>
            <w:tcW w:w="1204"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张欣怡</w:t>
            </w:r>
            <w:r>
              <w:rPr>
                <w:rFonts w:hint="eastAsia" w:ascii="仿宋_GB2312" w:hAnsi="宋体" w:eastAsia="仿宋_GB2312" w:cs="Times New Roman"/>
                <w:sz w:val="20"/>
                <w:szCs w:val="20"/>
                <w:lang w:eastAsia="zh-CN"/>
              </w:rPr>
              <w:t>、</w:t>
            </w:r>
            <w:r>
              <w:rPr>
                <w:rFonts w:hint="eastAsia" w:ascii="仿宋_GB2312" w:hAnsi="宋体" w:eastAsia="仿宋_GB2312" w:cs="Times New Roman"/>
                <w:sz w:val="20"/>
                <w:szCs w:val="20"/>
              </w:rPr>
              <w:t>张伟辰</w:t>
            </w:r>
          </w:p>
        </w:tc>
        <w:tc>
          <w:tcPr>
            <w:tcW w:w="1316" w:type="dxa"/>
            <w:tcMar>
              <w:top w:w="15" w:type="dxa"/>
              <w:left w:w="15" w:type="dxa"/>
              <w:bottom w:w="0" w:type="dxa"/>
              <w:right w:w="15" w:type="dxa"/>
            </w:tcMar>
            <w:vAlign w:val="center"/>
          </w:tcPr>
          <w:p>
            <w:pPr>
              <w:keepNext w:val="0"/>
              <w:keepLines w:val="0"/>
              <w:widowControl/>
              <w:suppressLineNumbers w:val="0"/>
              <w:jc w:val="center"/>
              <w:textAlignment w:val="center"/>
              <w:rPr>
                <w:rFonts w:hint="eastAsia" w:ascii="仿宋_GB2312" w:hAnsi="宋体" w:eastAsia="仿宋_GB2312" w:cs="Times New Roman"/>
                <w:sz w:val="20"/>
                <w:szCs w:val="20"/>
              </w:rPr>
            </w:pPr>
            <w:r>
              <w:rPr>
                <w:rStyle w:val="14"/>
                <w:rFonts w:hAnsi="Times New Roman"/>
                <w:lang w:val="en-US" w:eastAsia="zh-CN" w:bidi="ar"/>
              </w:rPr>
              <w:t>王法琴</w:t>
            </w:r>
            <w:r>
              <w:rPr>
                <w:rStyle w:val="15"/>
                <w:rFonts w:eastAsia="宋体"/>
                <w:lang w:val="en-US" w:eastAsia="zh-CN" w:bidi="ar"/>
              </w:rPr>
              <w:t>,</w:t>
            </w:r>
            <w:r>
              <w:rPr>
                <w:rStyle w:val="14"/>
                <w:rFonts w:hAnsi="Times New Roman"/>
                <w:lang w:val="en-US" w:eastAsia="zh-CN" w:bidi="ar"/>
              </w:rPr>
              <w:t>侯宪邦</w:t>
            </w:r>
          </w:p>
        </w:tc>
        <w:tc>
          <w:tcPr>
            <w:tcW w:w="1305"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val="en-US" w:eastAsia="zh-CN"/>
              </w:rPr>
              <w:t>两年期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48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10</w:t>
            </w:r>
          </w:p>
        </w:tc>
        <w:tc>
          <w:tcPr>
            <w:tcW w:w="141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val="en-US" w:eastAsia="zh-CN"/>
              </w:rPr>
              <w:t>药学院</w:t>
            </w:r>
          </w:p>
        </w:tc>
        <w:tc>
          <w:tcPr>
            <w:tcW w:w="2649"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eastAsia="zh-CN"/>
              </w:rPr>
            </w:pPr>
            <w:r>
              <w:rPr>
                <w:rFonts w:hint="eastAsia" w:ascii="仿宋_GB2312" w:hAnsi="宋体" w:eastAsia="仿宋_GB2312" w:cs="Times New Roman"/>
                <w:sz w:val="20"/>
                <w:szCs w:val="20"/>
                <w:lang w:eastAsia="zh-CN"/>
              </w:rPr>
              <w:t>新型阿魏酸酯的合成及抗氧化性研究</w:t>
            </w:r>
          </w:p>
        </w:tc>
        <w:tc>
          <w:tcPr>
            <w:tcW w:w="84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省级一般</w:t>
            </w:r>
          </w:p>
        </w:tc>
        <w:tc>
          <w:tcPr>
            <w:tcW w:w="1204"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马奔</w:t>
            </w:r>
          </w:p>
        </w:tc>
        <w:tc>
          <w:tcPr>
            <w:tcW w:w="1316" w:type="dxa"/>
            <w:tcMar>
              <w:top w:w="15" w:type="dxa"/>
              <w:left w:w="15" w:type="dxa"/>
              <w:bottom w:w="0" w:type="dxa"/>
              <w:right w:w="15" w:type="dxa"/>
            </w:tcMar>
            <w:vAlign w:val="center"/>
          </w:tcPr>
          <w:p>
            <w:pPr>
              <w:keepNext w:val="0"/>
              <w:keepLines w:val="0"/>
              <w:widowControl/>
              <w:suppressLineNumbers w:val="0"/>
              <w:jc w:val="center"/>
              <w:textAlignment w:val="center"/>
              <w:rPr>
                <w:rFonts w:hint="eastAsia" w:ascii="仿宋_GB2312" w:hAnsi="宋体" w:eastAsia="仿宋_GB2312" w:cs="Times New Roman"/>
                <w:sz w:val="20"/>
                <w:szCs w:val="20"/>
              </w:rPr>
            </w:pPr>
            <w:r>
              <w:rPr>
                <w:rStyle w:val="14"/>
                <w:rFonts w:hAnsi="Times New Roman"/>
                <w:lang w:val="en-US" w:eastAsia="zh-CN" w:bidi="ar"/>
              </w:rPr>
              <w:t>涂清波</w:t>
            </w:r>
          </w:p>
        </w:tc>
        <w:tc>
          <w:tcPr>
            <w:tcW w:w="1305"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val="en-US" w:eastAsia="zh-CN"/>
              </w:rPr>
              <w:t>一年期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48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11</w:t>
            </w:r>
          </w:p>
        </w:tc>
        <w:tc>
          <w:tcPr>
            <w:tcW w:w="141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val="en-US" w:eastAsia="zh-CN"/>
              </w:rPr>
              <w:t>药学院</w:t>
            </w:r>
          </w:p>
        </w:tc>
        <w:tc>
          <w:tcPr>
            <w:tcW w:w="2649"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eastAsia="zh-CN"/>
              </w:rPr>
            </w:pPr>
            <w:r>
              <w:rPr>
                <w:rFonts w:hint="eastAsia" w:ascii="仿宋_GB2312" w:hAnsi="宋体" w:eastAsia="仿宋_GB2312" w:cs="Times New Roman"/>
                <w:sz w:val="20"/>
                <w:szCs w:val="20"/>
                <w:lang w:eastAsia="zh-CN"/>
              </w:rPr>
              <w:t>泰州市海陵区中药资源分布调查及其可持续利用研究</w:t>
            </w:r>
          </w:p>
        </w:tc>
        <w:tc>
          <w:tcPr>
            <w:tcW w:w="84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省级一般</w:t>
            </w:r>
          </w:p>
        </w:tc>
        <w:tc>
          <w:tcPr>
            <w:tcW w:w="1204"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施艳慧</w:t>
            </w:r>
          </w:p>
        </w:tc>
        <w:tc>
          <w:tcPr>
            <w:tcW w:w="1316" w:type="dxa"/>
            <w:tcMar>
              <w:top w:w="15" w:type="dxa"/>
              <w:left w:w="15" w:type="dxa"/>
              <w:bottom w:w="0" w:type="dxa"/>
              <w:right w:w="15" w:type="dxa"/>
            </w:tcMar>
            <w:vAlign w:val="center"/>
          </w:tcPr>
          <w:p>
            <w:pPr>
              <w:keepNext w:val="0"/>
              <w:keepLines w:val="0"/>
              <w:widowControl/>
              <w:suppressLineNumbers w:val="0"/>
              <w:jc w:val="center"/>
              <w:textAlignment w:val="center"/>
              <w:rPr>
                <w:rFonts w:hint="eastAsia" w:ascii="仿宋_GB2312" w:hAnsi="宋体" w:eastAsia="仿宋_GB2312" w:cs="Times New Roman"/>
                <w:sz w:val="20"/>
                <w:szCs w:val="20"/>
              </w:rPr>
            </w:pPr>
            <w:r>
              <w:rPr>
                <w:rStyle w:val="14"/>
                <w:rFonts w:hAnsi="Times New Roman"/>
                <w:lang w:val="en-US" w:eastAsia="zh-CN" w:bidi="ar"/>
              </w:rPr>
              <w:t>李琳</w:t>
            </w:r>
            <w:r>
              <w:rPr>
                <w:rStyle w:val="15"/>
                <w:rFonts w:eastAsia="宋体"/>
                <w:lang w:val="en-US" w:eastAsia="zh-CN" w:bidi="ar"/>
              </w:rPr>
              <w:t>,</w:t>
            </w:r>
            <w:r>
              <w:rPr>
                <w:rStyle w:val="14"/>
                <w:rFonts w:hAnsi="Times New Roman"/>
                <w:lang w:val="en-US" w:eastAsia="zh-CN" w:bidi="ar"/>
              </w:rPr>
              <w:t>孙亚昕</w:t>
            </w:r>
          </w:p>
        </w:tc>
        <w:tc>
          <w:tcPr>
            <w:tcW w:w="1305"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val="en-US" w:eastAsia="zh-CN"/>
              </w:rPr>
              <w:t>一年期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48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12</w:t>
            </w:r>
          </w:p>
        </w:tc>
        <w:tc>
          <w:tcPr>
            <w:tcW w:w="141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val="en-US" w:eastAsia="zh-CN"/>
              </w:rPr>
              <w:t>卫管院</w:t>
            </w:r>
          </w:p>
        </w:tc>
        <w:tc>
          <w:tcPr>
            <w:tcW w:w="2649"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eastAsia="zh-CN"/>
              </w:rPr>
            </w:pPr>
            <w:r>
              <w:rPr>
                <w:rFonts w:hint="eastAsia" w:ascii="仿宋_GB2312" w:hAnsi="宋体" w:eastAsia="仿宋_GB2312" w:cs="Times New Roman"/>
                <w:sz w:val="20"/>
                <w:szCs w:val="20"/>
                <w:lang w:eastAsia="zh-CN"/>
              </w:rPr>
              <w:t>“一带一路”背景下中医药跨境电商的可行性研究</w:t>
            </w:r>
          </w:p>
        </w:tc>
        <w:tc>
          <w:tcPr>
            <w:tcW w:w="84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省级一般</w:t>
            </w:r>
          </w:p>
        </w:tc>
        <w:tc>
          <w:tcPr>
            <w:tcW w:w="1204"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lang w:eastAsia="zh-CN"/>
              </w:rPr>
              <w:t>黄雪娇</w:t>
            </w:r>
          </w:p>
        </w:tc>
        <w:tc>
          <w:tcPr>
            <w:tcW w:w="1316" w:type="dxa"/>
            <w:tcMar>
              <w:top w:w="15" w:type="dxa"/>
              <w:left w:w="15" w:type="dxa"/>
              <w:bottom w:w="0" w:type="dxa"/>
              <w:right w:w="15" w:type="dxa"/>
            </w:tcMar>
            <w:vAlign w:val="center"/>
          </w:tcPr>
          <w:p>
            <w:pPr>
              <w:keepNext w:val="0"/>
              <w:keepLines w:val="0"/>
              <w:widowControl/>
              <w:suppressLineNumbers w:val="0"/>
              <w:jc w:val="center"/>
              <w:textAlignment w:val="center"/>
              <w:rPr>
                <w:rFonts w:hint="eastAsia" w:ascii="仿宋_GB2312" w:hAnsi="宋体" w:eastAsia="仿宋_GB2312" w:cs="Times New Roman"/>
                <w:sz w:val="20"/>
                <w:szCs w:val="20"/>
              </w:rPr>
            </w:pPr>
            <w:r>
              <w:rPr>
                <w:rStyle w:val="14"/>
                <w:rFonts w:hAnsi="Times New Roman"/>
                <w:lang w:val="en-US" w:eastAsia="zh-CN" w:bidi="ar"/>
              </w:rPr>
              <w:t>田娟</w:t>
            </w:r>
            <w:r>
              <w:rPr>
                <w:rStyle w:val="15"/>
                <w:rFonts w:eastAsia="宋体"/>
                <w:lang w:val="en-US" w:eastAsia="zh-CN" w:bidi="ar"/>
              </w:rPr>
              <w:t>,</w:t>
            </w:r>
            <w:r>
              <w:rPr>
                <w:rStyle w:val="14"/>
                <w:rFonts w:hAnsi="Times New Roman"/>
                <w:lang w:val="en-US" w:eastAsia="zh-CN" w:bidi="ar"/>
              </w:rPr>
              <w:t>乔木</w:t>
            </w:r>
          </w:p>
        </w:tc>
        <w:tc>
          <w:tcPr>
            <w:tcW w:w="1305"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val="en-US" w:eastAsia="zh-CN"/>
              </w:rPr>
              <w:t>两年期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482" w:type="dxa"/>
            <w:tcMar>
              <w:top w:w="15" w:type="dxa"/>
              <w:left w:w="15" w:type="dxa"/>
              <w:bottom w:w="0" w:type="dxa"/>
              <w:right w:w="15" w:type="dxa"/>
            </w:tcMar>
            <w:vAlign w:val="center"/>
          </w:tcPr>
          <w:p>
            <w:pPr>
              <w:jc w:val="center"/>
              <w:rPr>
                <w:rFonts w:hint="default" w:ascii="仿宋_GB2312" w:hAnsi="宋体" w:eastAsia="仿宋_GB2312" w:cs="Times New Roman"/>
                <w:sz w:val="20"/>
                <w:szCs w:val="20"/>
                <w:lang w:val="en-US" w:eastAsia="zh-CN"/>
              </w:rPr>
            </w:pPr>
            <w:r>
              <w:rPr>
                <w:rFonts w:hint="eastAsia" w:ascii="仿宋_GB2312" w:hAnsi="宋体" w:eastAsia="仿宋_GB2312" w:cs="Times New Roman"/>
                <w:sz w:val="20"/>
                <w:szCs w:val="20"/>
                <w:lang w:val="en-US" w:eastAsia="zh-CN"/>
              </w:rPr>
              <w:t>13</w:t>
            </w:r>
          </w:p>
        </w:tc>
        <w:tc>
          <w:tcPr>
            <w:tcW w:w="141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val="en-US" w:eastAsia="zh-CN"/>
              </w:rPr>
              <w:t>卫管院</w:t>
            </w:r>
          </w:p>
        </w:tc>
        <w:tc>
          <w:tcPr>
            <w:tcW w:w="2649"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eastAsia="zh-CN"/>
              </w:rPr>
              <w:t>对医院的药膳市场分析——以康复阶段患者为例</w:t>
            </w:r>
          </w:p>
        </w:tc>
        <w:tc>
          <w:tcPr>
            <w:tcW w:w="84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省级一般</w:t>
            </w:r>
          </w:p>
        </w:tc>
        <w:tc>
          <w:tcPr>
            <w:tcW w:w="1204"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eastAsia="zh-CN"/>
              </w:rPr>
              <w:t>曾维玉、赵玉秀</w:t>
            </w:r>
          </w:p>
        </w:tc>
        <w:tc>
          <w:tcPr>
            <w:tcW w:w="1316" w:type="dxa"/>
            <w:tcMar>
              <w:top w:w="15" w:type="dxa"/>
              <w:left w:w="15" w:type="dxa"/>
              <w:bottom w:w="0" w:type="dxa"/>
              <w:right w:w="15" w:type="dxa"/>
            </w:tcMar>
            <w:vAlign w:val="center"/>
          </w:tcPr>
          <w:p>
            <w:pPr>
              <w:keepNext w:val="0"/>
              <w:keepLines w:val="0"/>
              <w:widowControl/>
              <w:suppressLineNumbers w:val="0"/>
              <w:jc w:val="center"/>
              <w:textAlignment w:val="center"/>
              <w:rPr>
                <w:rFonts w:hint="eastAsia" w:ascii="仿宋_GB2312" w:hAnsi="宋体" w:eastAsia="仿宋_GB2312" w:cs="Times New Roman"/>
                <w:sz w:val="20"/>
                <w:szCs w:val="20"/>
                <w:lang w:val="en-US" w:eastAsia="zh-CN"/>
              </w:rPr>
            </w:pPr>
            <w:r>
              <w:rPr>
                <w:rStyle w:val="14"/>
                <w:rFonts w:hAnsi="Times New Roman"/>
                <w:lang w:val="en-US" w:eastAsia="zh-CN" w:bidi="ar"/>
              </w:rPr>
              <w:t>乔木</w:t>
            </w:r>
            <w:r>
              <w:rPr>
                <w:rStyle w:val="15"/>
                <w:rFonts w:eastAsia="宋体"/>
                <w:lang w:val="en-US" w:eastAsia="zh-CN" w:bidi="ar"/>
              </w:rPr>
              <w:t>,</w:t>
            </w:r>
            <w:r>
              <w:rPr>
                <w:rStyle w:val="14"/>
                <w:rFonts w:hAnsi="Times New Roman"/>
                <w:lang w:val="en-US" w:eastAsia="zh-CN" w:bidi="ar"/>
              </w:rPr>
              <w:t>田娟</w:t>
            </w:r>
          </w:p>
        </w:tc>
        <w:tc>
          <w:tcPr>
            <w:tcW w:w="1305" w:type="dxa"/>
            <w:tcMar>
              <w:top w:w="15" w:type="dxa"/>
              <w:left w:w="15" w:type="dxa"/>
              <w:bottom w:w="0" w:type="dxa"/>
              <w:right w:w="15" w:type="dxa"/>
            </w:tcMar>
            <w:vAlign w:val="center"/>
          </w:tcPr>
          <w:p>
            <w:pPr>
              <w:jc w:val="center"/>
              <w:rPr>
                <w:rFonts w:hint="eastAsia" w:ascii="仿宋_GB2312" w:hAnsi="宋体" w:eastAsia="仿宋_GB2312" w:cs="Times New Roman"/>
                <w:kern w:val="2"/>
                <w:sz w:val="20"/>
                <w:szCs w:val="20"/>
                <w:lang w:val="en-US" w:eastAsia="zh-CN" w:bidi="ar-SA"/>
              </w:rPr>
            </w:pPr>
            <w:r>
              <w:rPr>
                <w:rFonts w:hint="eastAsia" w:ascii="仿宋_GB2312" w:hAnsi="宋体" w:eastAsia="仿宋_GB2312" w:cs="Times New Roman"/>
                <w:sz w:val="20"/>
                <w:szCs w:val="20"/>
                <w:lang w:val="en-US" w:eastAsia="zh-CN"/>
              </w:rPr>
              <w:t>一年期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482" w:type="dxa"/>
            <w:tcMar>
              <w:top w:w="15" w:type="dxa"/>
              <w:left w:w="15" w:type="dxa"/>
              <w:bottom w:w="0" w:type="dxa"/>
              <w:right w:w="15" w:type="dxa"/>
            </w:tcMar>
            <w:vAlign w:val="center"/>
          </w:tcPr>
          <w:p>
            <w:pPr>
              <w:jc w:val="center"/>
              <w:rPr>
                <w:rFonts w:hint="default" w:ascii="仿宋_GB2312" w:hAnsi="宋体" w:eastAsia="仿宋_GB2312" w:cs="Times New Roman"/>
                <w:sz w:val="20"/>
                <w:szCs w:val="20"/>
                <w:lang w:val="en-US" w:eastAsia="zh-CN"/>
              </w:rPr>
            </w:pPr>
            <w:r>
              <w:rPr>
                <w:rFonts w:hint="eastAsia" w:ascii="仿宋_GB2312" w:hAnsi="宋体" w:eastAsia="仿宋_GB2312" w:cs="Times New Roman"/>
                <w:sz w:val="20"/>
                <w:szCs w:val="20"/>
                <w:lang w:val="en-US" w:eastAsia="zh-CN"/>
              </w:rPr>
              <w:t>14</w:t>
            </w:r>
          </w:p>
        </w:tc>
        <w:tc>
          <w:tcPr>
            <w:tcW w:w="141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val="en-US" w:eastAsia="zh-CN"/>
              </w:rPr>
              <w:t>卫管院</w:t>
            </w:r>
          </w:p>
        </w:tc>
        <w:tc>
          <w:tcPr>
            <w:tcW w:w="2649"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eastAsia="zh-CN"/>
              </w:rPr>
              <w:t>泰州市养老现状调查及智能养老模式探讨</w:t>
            </w:r>
          </w:p>
        </w:tc>
        <w:tc>
          <w:tcPr>
            <w:tcW w:w="84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省级一般</w:t>
            </w:r>
          </w:p>
        </w:tc>
        <w:tc>
          <w:tcPr>
            <w:tcW w:w="1204"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eastAsia="zh-CN"/>
              </w:rPr>
              <w:t>张军正</w:t>
            </w:r>
          </w:p>
        </w:tc>
        <w:tc>
          <w:tcPr>
            <w:tcW w:w="1316" w:type="dxa"/>
            <w:tcMar>
              <w:top w:w="15" w:type="dxa"/>
              <w:left w:w="15" w:type="dxa"/>
              <w:bottom w:w="0" w:type="dxa"/>
              <w:right w:w="15" w:type="dxa"/>
            </w:tcMar>
            <w:vAlign w:val="center"/>
          </w:tcPr>
          <w:p>
            <w:pPr>
              <w:keepNext w:val="0"/>
              <w:keepLines w:val="0"/>
              <w:widowControl/>
              <w:suppressLineNumbers w:val="0"/>
              <w:jc w:val="center"/>
              <w:textAlignment w:val="center"/>
              <w:rPr>
                <w:rFonts w:hint="eastAsia" w:ascii="仿宋_GB2312" w:hAnsi="宋体" w:eastAsia="仿宋_GB2312" w:cs="Times New Roman"/>
                <w:sz w:val="20"/>
                <w:szCs w:val="20"/>
                <w:lang w:val="en-US" w:eastAsia="zh-CN"/>
              </w:rPr>
            </w:pPr>
            <w:r>
              <w:rPr>
                <w:rStyle w:val="14"/>
                <w:rFonts w:hAnsi="Times New Roman"/>
                <w:lang w:val="en-US" w:eastAsia="zh-CN" w:bidi="ar"/>
              </w:rPr>
              <w:t>加瑞芳</w:t>
            </w:r>
            <w:r>
              <w:rPr>
                <w:rStyle w:val="15"/>
                <w:rFonts w:eastAsia="宋体"/>
                <w:lang w:val="en-US" w:eastAsia="zh-CN" w:bidi="ar"/>
              </w:rPr>
              <w:t>,</w:t>
            </w:r>
            <w:r>
              <w:rPr>
                <w:rStyle w:val="14"/>
                <w:rFonts w:hAnsi="Times New Roman"/>
                <w:lang w:val="en-US" w:eastAsia="zh-CN" w:bidi="ar"/>
              </w:rPr>
              <w:t>秦晴</w:t>
            </w:r>
          </w:p>
        </w:tc>
        <w:tc>
          <w:tcPr>
            <w:tcW w:w="1305" w:type="dxa"/>
            <w:tcMar>
              <w:top w:w="15" w:type="dxa"/>
              <w:left w:w="15" w:type="dxa"/>
              <w:bottom w:w="0" w:type="dxa"/>
              <w:right w:w="15" w:type="dxa"/>
            </w:tcMar>
            <w:vAlign w:val="center"/>
          </w:tcPr>
          <w:p>
            <w:pPr>
              <w:jc w:val="center"/>
              <w:rPr>
                <w:rFonts w:hint="eastAsia" w:ascii="仿宋_GB2312" w:hAnsi="宋体" w:eastAsia="仿宋_GB2312" w:cs="Times New Roman"/>
                <w:kern w:val="2"/>
                <w:sz w:val="20"/>
                <w:szCs w:val="20"/>
                <w:lang w:val="en-US" w:eastAsia="zh-CN" w:bidi="ar-SA"/>
              </w:rPr>
            </w:pPr>
            <w:r>
              <w:rPr>
                <w:rFonts w:hint="eastAsia" w:ascii="仿宋_GB2312" w:hAnsi="宋体" w:eastAsia="仿宋_GB2312" w:cs="Times New Roman"/>
                <w:sz w:val="20"/>
                <w:szCs w:val="20"/>
                <w:lang w:val="en-US" w:eastAsia="zh-CN"/>
              </w:rPr>
              <w:t>一年期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482" w:type="dxa"/>
            <w:tcMar>
              <w:top w:w="15" w:type="dxa"/>
              <w:left w:w="15" w:type="dxa"/>
              <w:bottom w:w="0" w:type="dxa"/>
              <w:right w:w="15" w:type="dxa"/>
            </w:tcMar>
            <w:vAlign w:val="center"/>
          </w:tcPr>
          <w:p>
            <w:pPr>
              <w:jc w:val="center"/>
              <w:rPr>
                <w:rFonts w:hint="default" w:ascii="仿宋_GB2312" w:hAnsi="宋体" w:eastAsia="仿宋_GB2312" w:cs="Times New Roman"/>
                <w:sz w:val="20"/>
                <w:szCs w:val="20"/>
                <w:lang w:val="en-US" w:eastAsia="zh-CN"/>
              </w:rPr>
            </w:pPr>
            <w:r>
              <w:rPr>
                <w:rFonts w:hint="eastAsia" w:ascii="仿宋_GB2312" w:hAnsi="宋体" w:eastAsia="仿宋_GB2312" w:cs="Times New Roman"/>
                <w:sz w:val="20"/>
                <w:szCs w:val="20"/>
                <w:lang w:val="en-US" w:eastAsia="zh-CN"/>
              </w:rPr>
              <w:t>15</w:t>
            </w:r>
          </w:p>
        </w:tc>
        <w:tc>
          <w:tcPr>
            <w:tcW w:w="141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val="en-US" w:eastAsia="zh-CN"/>
              </w:rPr>
              <w:t>卫管院</w:t>
            </w:r>
          </w:p>
        </w:tc>
        <w:tc>
          <w:tcPr>
            <w:tcW w:w="2649"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eastAsia="zh-CN"/>
              </w:rPr>
              <w:t>基于城市居民的共享汽车使用影响因素及对策——以泰州市为例</w:t>
            </w:r>
          </w:p>
        </w:tc>
        <w:tc>
          <w:tcPr>
            <w:tcW w:w="84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省级一般</w:t>
            </w:r>
          </w:p>
        </w:tc>
        <w:tc>
          <w:tcPr>
            <w:tcW w:w="1204"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eastAsia="zh-CN"/>
              </w:rPr>
              <w:t>黄艳琳、潘文静</w:t>
            </w:r>
          </w:p>
        </w:tc>
        <w:tc>
          <w:tcPr>
            <w:tcW w:w="1316" w:type="dxa"/>
            <w:tcMar>
              <w:top w:w="15" w:type="dxa"/>
              <w:left w:w="15" w:type="dxa"/>
              <w:bottom w:w="0" w:type="dxa"/>
              <w:right w:w="15" w:type="dxa"/>
            </w:tcMar>
            <w:vAlign w:val="center"/>
          </w:tcPr>
          <w:p>
            <w:pPr>
              <w:keepNext w:val="0"/>
              <w:keepLines w:val="0"/>
              <w:widowControl/>
              <w:suppressLineNumbers w:val="0"/>
              <w:jc w:val="center"/>
              <w:textAlignment w:val="center"/>
              <w:rPr>
                <w:rFonts w:hint="eastAsia" w:ascii="仿宋_GB2312" w:hAnsi="宋体" w:eastAsia="仿宋_GB2312" w:cs="Times New Roman"/>
                <w:sz w:val="20"/>
                <w:szCs w:val="20"/>
                <w:lang w:val="en-US" w:eastAsia="zh-CN"/>
              </w:rPr>
            </w:pPr>
            <w:r>
              <w:rPr>
                <w:rStyle w:val="14"/>
                <w:rFonts w:hAnsi="Times New Roman"/>
                <w:lang w:val="en-US" w:eastAsia="zh-CN" w:bidi="ar"/>
              </w:rPr>
              <w:t>田浩国</w:t>
            </w:r>
            <w:r>
              <w:rPr>
                <w:rStyle w:val="15"/>
                <w:rFonts w:eastAsia="宋体"/>
                <w:lang w:val="en-US" w:eastAsia="zh-CN" w:bidi="ar"/>
              </w:rPr>
              <w:t>,</w:t>
            </w:r>
            <w:r>
              <w:rPr>
                <w:rStyle w:val="14"/>
                <w:rFonts w:hAnsi="Times New Roman"/>
                <w:lang w:val="en-US" w:eastAsia="zh-CN" w:bidi="ar"/>
              </w:rPr>
              <w:t>田娟</w:t>
            </w:r>
          </w:p>
        </w:tc>
        <w:tc>
          <w:tcPr>
            <w:tcW w:w="1305" w:type="dxa"/>
            <w:tcMar>
              <w:top w:w="15" w:type="dxa"/>
              <w:left w:w="15" w:type="dxa"/>
              <w:bottom w:w="0" w:type="dxa"/>
              <w:right w:w="15" w:type="dxa"/>
            </w:tcMar>
            <w:vAlign w:val="center"/>
          </w:tcPr>
          <w:p>
            <w:pPr>
              <w:jc w:val="center"/>
              <w:rPr>
                <w:rFonts w:hint="eastAsia" w:ascii="仿宋_GB2312" w:hAnsi="宋体" w:eastAsia="仿宋_GB2312" w:cs="Times New Roman"/>
                <w:kern w:val="2"/>
                <w:sz w:val="20"/>
                <w:szCs w:val="20"/>
                <w:lang w:val="en-US" w:eastAsia="zh-CN" w:bidi="ar-SA"/>
              </w:rPr>
            </w:pPr>
            <w:r>
              <w:rPr>
                <w:rFonts w:hint="eastAsia" w:ascii="仿宋_GB2312" w:hAnsi="宋体" w:eastAsia="仿宋_GB2312" w:cs="Times New Roman"/>
                <w:sz w:val="20"/>
                <w:szCs w:val="20"/>
                <w:lang w:val="en-US" w:eastAsia="zh-CN"/>
              </w:rPr>
              <w:t>两年期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482" w:type="dxa"/>
            <w:tcMar>
              <w:top w:w="15" w:type="dxa"/>
              <w:left w:w="15" w:type="dxa"/>
              <w:bottom w:w="0" w:type="dxa"/>
              <w:right w:w="15" w:type="dxa"/>
            </w:tcMar>
            <w:vAlign w:val="center"/>
          </w:tcPr>
          <w:p>
            <w:pPr>
              <w:jc w:val="center"/>
              <w:rPr>
                <w:rFonts w:hint="default" w:ascii="仿宋_GB2312" w:hAnsi="宋体" w:eastAsia="仿宋_GB2312" w:cs="Times New Roman"/>
                <w:sz w:val="20"/>
                <w:szCs w:val="20"/>
                <w:lang w:val="en-US" w:eastAsia="zh-CN"/>
              </w:rPr>
            </w:pPr>
            <w:r>
              <w:rPr>
                <w:rFonts w:hint="eastAsia" w:ascii="仿宋_GB2312" w:hAnsi="宋体" w:eastAsia="仿宋_GB2312" w:cs="Times New Roman"/>
                <w:sz w:val="20"/>
                <w:szCs w:val="20"/>
                <w:lang w:val="en-US" w:eastAsia="zh-CN"/>
              </w:rPr>
              <w:t>16</w:t>
            </w:r>
          </w:p>
        </w:tc>
        <w:tc>
          <w:tcPr>
            <w:tcW w:w="141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val="en-US" w:eastAsia="zh-CN"/>
              </w:rPr>
              <w:t>卫管院</w:t>
            </w:r>
          </w:p>
        </w:tc>
        <w:tc>
          <w:tcPr>
            <w:tcW w:w="2649"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eastAsia="zh-CN"/>
              </w:rPr>
              <w:t>医联体内双向转诊的现状及对策研究——基于上海市医联体的调查</w:t>
            </w:r>
          </w:p>
        </w:tc>
        <w:tc>
          <w:tcPr>
            <w:tcW w:w="84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省级一般</w:t>
            </w:r>
          </w:p>
        </w:tc>
        <w:tc>
          <w:tcPr>
            <w:tcW w:w="1204"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eastAsia="zh-CN"/>
              </w:rPr>
              <w:t>倪娜</w:t>
            </w:r>
          </w:p>
        </w:tc>
        <w:tc>
          <w:tcPr>
            <w:tcW w:w="1316" w:type="dxa"/>
            <w:tcMar>
              <w:top w:w="15" w:type="dxa"/>
              <w:left w:w="15" w:type="dxa"/>
              <w:bottom w:w="0" w:type="dxa"/>
              <w:right w:w="15" w:type="dxa"/>
            </w:tcMar>
            <w:vAlign w:val="center"/>
          </w:tcPr>
          <w:p>
            <w:pPr>
              <w:keepNext w:val="0"/>
              <w:keepLines w:val="0"/>
              <w:widowControl/>
              <w:suppressLineNumbers w:val="0"/>
              <w:jc w:val="center"/>
              <w:textAlignment w:val="center"/>
              <w:rPr>
                <w:rFonts w:hint="eastAsia" w:ascii="仿宋_GB2312" w:hAnsi="宋体" w:eastAsia="仿宋_GB2312" w:cs="Times New Roman"/>
                <w:sz w:val="20"/>
                <w:szCs w:val="20"/>
                <w:lang w:val="en-US" w:eastAsia="zh-CN"/>
              </w:rPr>
            </w:pPr>
            <w:r>
              <w:rPr>
                <w:rStyle w:val="14"/>
                <w:rFonts w:hAnsi="Times New Roman"/>
                <w:lang w:val="en-US" w:eastAsia="zh-CN" w:bidi="ar"/>
              </w:rPr>
              <w:t>单兰倩</w:t>
            </w:r>
          </w:p>
        </w:tc>
        <w:tc>
          <w:tcPr>
            <w:tcW w:w="1305"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val="en-US" w:eastAsia="zh-CN"/>
              </w:rPr>
              <w:t>两年期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482" w:type="dxa"/>
            <w:tcMar>
              <w:top w:w="15" w:type="dxa"/>
              <w:left w:w="15" w:type="dxa"/>
              <w:bottom w:w="0" w:type="dxa"/>
              <w:right w:w="15" w:type="dxa"/>
            </w:tcMar>
            <w:vAlign w:val="center"/>
          </w:tcPr>
          <w:p>
            <w:pPr>
              <w:jc w:val="center"/>
              <w:rPr>
                <w:rFonts w:hint="default" w:ascii="仿宋_GB2312" w:hAnsi="宋体" w:eastAsia="仿宋_GB2312" w:cs="Times New Roman"/>
                <w:sz w:val="20"/>
                <w:szCs w:val="20"/>
                <w:lang w:val="en-US" w:eastAsia="zh-CN"/>
              </w:rPr>
            </w:pPr>
            <w:r>
              <w:rPr>
                <w:rFonts w:hint="eastAsia" w:ascii="仿宋_GB2312" w:hAnsi="宋体" w:eastAsia="仿宋_GB2312" w:cs="Times New Roman"/>
                <w:sz w:val="20"/>
                <w:szCs w:val="20"/>
                <w:lang w:val="en-US" w:eastAsia="zh-CN"/>
              </w:rPr>
              <w:t>17</w:t>
            </w:r>
          </w:p>
        </w:tc>
        <w:tc>
          <w:tcPr>
            <w:tcW w:w="141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val="en-US" w:eastAsia="zh-CN"/>
              </w:rPr>
              <w:t>卫管院</w:t>
            </w:r>
          </w:p>
        </w:tc>
        <w:tc>
          <w:tcPr>
            <w:tcW w:w="2649"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eastAsia="zh-CN"/>
              </w:rPr>
              <w:t>基于“互联网+”的泰州市居家养老服务现状及发展研究</w:t>
            </w:r>
          </w:p>
        </w:tc>
        <w:tc>
          <w:tcPr>
            <w:tcW w:w="842"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rPr>
            </w:pPr>
            <w:r>
              <w:rPr>
                <w:rFonts w:hint="eastAsia" w:ascii="仿宋_GB2312" w:hAnsi="宋体" w:eastAsia="仿宋_GB2312" w:cs="Times New Roman"/>
                <w:sz w:val="20"/>
                <w:szCs w:val="20"/>
              </w:rPr>
              <w:t>省级一般</w:t>
            </w:r>
          </w:p>
        </w:tc>
        <w:tc>
          <w:tcPr>
            <w:tcW w:w="1204"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eastAsia="zh-CN"/>
              </w:rPr>
              <w:t>朱铭、顾倩妤</w:t>
            </w:r>
          </w:p>
        </w:tc>
        <w:tc>
          <w:tcPr>
            <w:tcW w:w="1316" w:type="dxa"/>
            <w:tcMar>
              <w:top w:w="15" w:type="dxa"/>
              <w:left w:w="15" w:type="dxa"/>
              <w:bottom w:w="0" w:type="dxa"/>
              <w:right w:w="15" w:type="dxa"/>
            </w:tcMar>
            <w:vAlign w:val="center"/>
          </w:tcPr>
          <w:p>
            <w:pPr>
              <w:keepNext w:val="0"/>
              <w:keepLines w:val="0"/>
              <w:widowControl/>
              <w:suppressLineNumbers w:val="0"/>
              <w:jc w:val="center"/>
              <w:textAlignment w:val="center"/>
              <w:rPr>
                <w:rFonts w:hint="eastAsia" w:ascii="仿宋_GB2312" w:hAnsi="宋体" w:eastAsia="仿宋_GB2312" w:cs="Times New Roman"/>
                <w:sz w:val="20"/>
                <w:szCs w:val="20"/>
                <w:lang w:val="en-US" w:eastAsia="zh-CN"/>
              </w:rPr>
            </w:pPr>
            <w:r>
              <w:rPr>
                <w:rStyle w:val="14"/>
                <w:rFonts w:hAnsi="Times New Roman"/>
                <w:lang w:val="en-US" w:eastAsia="zh-CN" w:bidi="ar"/>
              </w:rPr>
              <w:t>吴玲霞</w:t>
            </w:r>
            <w:r>
              <w:rPr>
                <w:rStyle w:val="15"/>
                <w:rFonts w:eastAsia="宋体"/>
                <w:lang w:val="en-US" w:eastAsia="zh-CN" w:bidi="ar"/>
              </w:rPr>
              <w:t>,</w:t>
            </w:r>
            <w:r>
              <w:rPr>
                <w:rStyle w:val="14"/>
                <w:rFonts w:hAnsi="Times New Roman"/>
                <w:lang w:val="en-US" w:eastAsia="zh-CN" w:bidi="ar"/>
              </w:rPr>
              <w:t>翟菲</w:t>
            </w:r>
          </w:p>
        </w:tc>
        <w:tc>
          <w:tcPr>
            <w:tcW w:w="1305" w:type="dxa"/>
            <w:tcMar>
              <w:top w:w="15" w:type="dxa"/>
              <w:left w:w="15" w:type="dxa"/>
              <w:bottom w:w="0" w:type="dxa"/>
              <w:right w:w="15" w:type="dxa"/>
            </w:tcMar>
            <w:vAlign w:val="center"/>
          </w:tcPr>
          <w:p>
            <w:pPr>
              <w:jc w:val="center"/>
              <w:rPr>
                <w:rFonts w:hint="eastAsia" w:ascii="仿宋_GB2312" w:hAnsi="宋体" w:eastAsia="仿宋_GB2312" w:cs="Times New Roman"/>
                <w:sz w:val="20"/>
                <w:szCs w:val="20"/>
                <w:lang w:val="en-US" w:eastAsia="zh-CN"/>
              </w:rPr>
            </w:pPr>
            <w:r>
              <w:rPr>
                <w:rFonts w:hint="eastAsia" w:ascii="仿宋_GB2312" w:hAnsi="宋体" w:eastAsia="仿宋_GB2312" w:cs="Times New Roman"/>
                <w:sz w:val="20"/>
                <w:szCs w:val="20"/>
                <w:lang w:val="en-US" w:eastAsia="zh-CN"/>
              </w:rPr>
              <w:t>两年期</w:t>
            </w:r>
          </w:p>
        </w:tc>
      </w:tr>
    </w:tbl>
    <w:p>
      <w:pPr>
        <w:rPr>
          <w:rFonts w:hint="eastAsia" w:ascii="仿宋_GB2312" w:eastAsia="仿宋_GB2312"/>
          <w:bCs/>
          <w:sz w:val="32"/>
          <w:szCs w:val="32"/>
        </w:rPr>
      </w:pPr>
    </w:p>
    <w:sectPr>
      <w:footerReference r:id="rId3" w:type="default"/>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165941"/>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3A0B6"/>
    <w:multiLevelType w:val="singleLevel"/>
    <w:tmpl w:val="5343A0B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81C4C"/>
    <w:rsid w:val="00000801"/>
    <w:rsid w:val="00034978"/>
    <w:rsid w:val="00077B06"/>
    <w:rsid w:val="00085573"/>
    <w:rsid w:val="000975E8"/>
    <w:rsid w:val="000C72EC"/>
    <w:rsid w:val="000D463F"/>
    <w:rsid w:val="000E7B99"/>
    <w:rsid w:val="00181F66"/>
    <w:rsid w:val="00190D96"/>
    <w:rsid w:val="001A151A"/>
    <w:rsid w:val="001A6820"/>
    <w:rsid w:val="001E4218"/>
    <w:rsid w:val="002003AB"/>
    <w:rsid w:val="002006A0"/>
    <w:rsid w:val="00253547"/>
    <w:rsid w:val="00255A16"/>
    <w:rsid w:val="002602A8"/>
    <w:rsid w:val="00264830"/>
    <w:rsid w:val="002777EB"/>
    <w:rsid w:val="00287D03"/>
    <w:rsid w:val="00292736"/>
    <w:rsid w:val="00294A31"/>
    <w:rsid w:val="002B061C"/>
    <w:rsid w:val="002D5879"/>
    <w:rsid w:val="0031409D"/>
    <w:rsid w:val="003171AC"/>
    <w:rsid w:val="00325926"/>
    <w:rsid w:val="00326160"/>
    <w:rsid w:val="0032686C"/>
    <w:rsid w:val="00365C09"/>
    <w:rsid w:val="003A4A9E"/>
    <w:rsid w:val="00407C85"/>
    <w:rsid w:val="00435607"/>
    <w:rsid w:val="00466B48"/>
    <w:rsid w:val="004A45C8"/>
    <w:rsid w:val="005146FC"/>
    <w:rsid w:val="005918F1"/>
    <w:rsid w:val="005962D2"/>
    <w:rsid w:val="005C4CCB"/>
    <w:rsid w:val="005C6896"/>
    <w:rsid w:val="00615330"/>
    <w:rsid w:val="006430A7"/>
    <w:rsid w:val="0064780C"/>
    <w:rsid w:val="006478C0"/>
    <w:rsid w:val="00682649"/>
    <w:rsid w:val="0069057A"/>
    <w:rsid w:val="00691CAB"/>
    <w:rsid w:val="006A265C"/>
    <w:rsid w:val="006F33D9"/>
    <w:rsid w:val="006F6720"/>
    <w:rsid w:val="00736F50"/>
    <w:rsid w:val="00743686"/>
    <w:rsid w:val="00767845"/>
    <w:rsid w:val="007C7312"/>
    <w:rsid w:val="007D3BAB"/>
    <w:rsid w:val="007E4E1D"/>
    <w:rsid w:val="00836A74"/>
    <w:rsid w:val="008474BF"/>
    <w:rsid w:val="008E6266"/>
    <w:rsid w:val="00920A51"/>
    <w:rsid w:val="00925268"/>
    <w:rsid w:val="00937613"/>
    <w:rsid w:val="0095599C"/>
    <w:rsid w:val="009D129A"/>
    <w:rsid w:val="00A12F86"/>
    <w:rsid w:val="00A2353D"/>
    <w:rsid w:val="00A43BA0"/>
    <w:rsid w:val="00A634B8"/>
    <w:rsid w:val="00A81C4C"/>
    <w:rsid w:val="00AC470F"/>
    <w:rsid w:val="00AD2A1D"/>
    <w:rsid w:val="00B16317"/>
    <w:rsid w:val="00B23B03"/>
    <w:rsid w:val="00B42915"/>
    <w:rsid w:val="00B6328F"/>
    <w:rsid w:val="00B91EE0"/>
    <w:rsid w:val="00BC5F18"/>
    <w:rsid w:val="00BC795B"/>
    <w:rsid w:val="00C0088F"/>
    <w:rsid w:val="00C44628"/>
    <w:rsid w:val="00C82C00"/>
    <w:rsid w:val="00C8599A"/>
    <w:rsid w:val="00C962CC"/>
    <w:rsid w:val="00CE2B01"/>
    <w:rsid w:val="00CE506C"/>
    <w:rsid w:val="00CF0AEC"/>
    <w:rsid w:val="00D047C8"/>
    <w:rsid w:val="00D45D06"/>
    <w:rsid w:val="00D7578F"/>
    <w:rsid w:val="00D85133"/>
    <w:rsid w:val="00DB70F6"/>
    <w:rsid w:val="00DE057C"/>
    <w:rsid w:val="00DE20B3"/>
    <w:rsid w:val="00DF6B79"/>
    <w:rsid w:val="00E114A5"/>
    <w:rsid w:val="00E30519"/>
    <w:rsid w:val="00E35DE4"/>
    <w:rsid w:val="00F40E20"/>
    <w:rsid w:val="00F55F30"/>
    <w:rsid w:val="00F72562"/>
    <w:rsid w:val="12385B06"/>
    <w:rsid w:val="23196629"/>
    <w:rsid w:val="3EFF754F"/>
    <w:rsid w:val="5B536401"/>
    <w:rsid w:val="5BE93464"/>
    <w:rsid w:val="5F475BDF"/>
    <w:rsid w:val="62566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qFormat/>
    <w:uiPriority w:val="99"/>
    <w:rPr>
      <w:color w:val="0000FF"/>
      <w:u w:val="single"/>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qFormat/>
    <w:uiPriority w:val="99"/>
    <w:rPr>
      <w:sz w:val="18"/>
      <w:szCs w:val="18"/>
    </w:rPr>
  </w:style>
  <w:style w:type="paragraph" w:customStyle="1" w:styleId="11">
    <w:name w:val="p0"/>
    <w:basedOn w:val="1"/>
    <w:qFormat/>
    <w:uiPriority w:val="0"/>
    <w:pPr>
      <w:widowControl/>
      <w:jc w:val="left"/>
    </w:pPr>
    <w:rPr>
      <w:rFonts w:ascii="Times New Roman" w:hAnsi="Times New Roman" w:eastAsia="宋体" w:cs="Times New Roman"/>
      <w:kern w:val="0"/>
      <w:szCs w:val="21"/>
    </w:rPr>
  </w:style>
  <w:style w:type="character" w:customStyle="1" w:styleId="12">
    <w:name w:val="批注框文本 Char"/>
    <w:basedOn w:val="6"/>
    <w:link w:val="2"/>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font11"/>
    <w:basedOn w:val="6"/>
    <w:qFormat/>
    <w:uiPriority w:val="0"/>
    <w:rPr>
      <w:rFonts w:ascii="仿宋_GB2312" w:eastAsia="仿宋_GB2312" w:cs="仿宋_GB2312"/>
      <w:color w:val="000000"/>
      <w:sz w:val="22"/>
      <w:szCs w:val="22"/>
      <w:u w:val="none"/>
    </w:rPr>
  </w:style>
  <w:style w:type="character" w:customStyle="1" w:styleId="15">
    <w:name w:val="font21"/>
    <w:basedOn w:val="6"/>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FC1553-7BD6-4E18-B15F-74F9373DF3A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19</Pages>
  <Words>2545</Words>
  <Characters>14513</Characters>
  <Lines>120</Lines>
  <Paragraphs>34</Paragraphs>
  <TotalTime>0</TotalTime>
  <ScaleCrop>false</ScaleCrop>
  <LinksUpToDate>false</LinksUpToDate>
  <CharactersWithSpaces>17024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2016-02-26T06:21:00Z</dcterms:created>
  <dc:creator>Windows 用户</dc:creator>
  <cp:lastModifiedBy>Administrator</cp:lastModifiedBy>
  <cp:lastPrinted>2016-03-03T08:10:00Z</cp:lastPrinted>
  <dcterms:modified xsi:type="dcterms:W3CDTF">2020-05-09T08:14:17Z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KSORubyTemplateID" linkTarget="0">
    <vt:lpwstr>6</vt:lpwstr>
  </property>
</Properties>
</file>